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72293A" w:rsidRDefault="00B20B33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72293A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DD65DE" w:rsidRPr="0072293A" w:rsidRDefault="00DD65DE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DD65DE" w:rsidRPr="0072293A" w:rsidRDefault="00DD65DE" w:rsidP="00DD65D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72293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72293A">
        <w:rPr>
          <w:rFonts w:ascii="IRBadr" w:hAnsi="IRBadr" w:cs="IRBadr"/>
          <w:sz w:val="28"/>
          <w:szCs w:val="28"/>
          <w:lang w:bidi="fa-IR"/>
        </w:rPr>
        <w:instrText>TOC</w:instrText>
      </w:r>
      <w:r w:rsidRPr="0072293A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72293A">
        <w:rPr>
          <w:rFonts w:ascii="IRBadr" w:hAnsi="IRBadr" w:cs="IRBadr"/>
          <w:sz w:val="28"/>
          <w:szCs w:val="28"/>
          <w:lang w:bidi="fa-IR"/>
        </w:rPr>
        <w:instrText>o "</w:instrText>
      </w:r>
      <w:r w:rsidRPr="0072293A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72293A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72293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72293A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DD65DE" w:rsidRPr="0072293A" w:rsidRDefault="00DD65DE" w:rsidP="00DD65DE">
      <w:pPr>
        <w:bidi/>
        <w:jc w:val="both"/>
        <w:rPr>
          <w:rFonts w:ascii="IRBadr" w:hAnsi="IRBadr" w:cs="IRBadr"/>
          <w:noProof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fldChar w:fldCharType="end"/>
      </w:r>
      <w:r w:rsidRPr="0072293A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72293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72293A">
        <w:rPr>
          <w:rFonts w:ascii="IRBadr" w:hAnsi="IRBadr" w:cs="IRBadr"/>
          <w:sz w:val="28"/>
          <w:szCs w:val="28"/>
          <w:lang w:bidi="fa-IR"/>
        </w:rPr>
        <w:instrText>TOC</w:instrText>
      </w:r>
      <w:r w:rsidRPr="0072293A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72293A">
        <w:rPr>
          <w:rFonts w:ascii="IRBadr" w:hAnsi="IRBadr" w:cs="IRBadr"/>
          <w:sz w:val="28"/>
          <w:szCs w:val="28"/>
          <w:lang w:bidi="fa-IR"/>
        </w:rPr>
        <w:instrText>o "</w:instrText>
      </w:r>
      <w:r w:rsidRPr="0072293A">
        <w:rPr>
          <w:rFonts w:ascii="IRBadr" w:hAnsi="IRBadr" w:cs="IRBadr"/>
          <w:sz w:val="28"/>
          <w:szCs w:val="28"/>
          <w:rtl/>
          <w:lang w:bidi="fa-IR"/>
        </w:rPr>
        <w:instrText>1-4</w:instrText>
      </w:r>
      <w:r w:rsidRPr="0072293A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72293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72293A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DD65DE" w:rsidRPr="0072293A" w:rsidRDefault="003176C7" w:rsidP="00DD65DE">
      <w:pPr>
        <w:pStyle w:val="1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2475" w:history="1">
        <w:r w:rsidR="00DD65DE" w:rsidRPr="0072293A">
          <w:rPr>
            <w:rStyle w:val="ab"/>
            <w:rFonts w:ascii="IRBadr" w:hAnsi="IRBadr" w:cs="IRBadr"/>
            <w:b/>
            <w:bCs/>
            <w:noProof/>
            <w:rtl/>
          </w:rPr>
          <w:t>اقامه حد در بلاد کفر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_Toc425552475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2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3176C7" w:rsidP="00DD65D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2476" w:history="1">
        <w:r w:rsidR="00DD65DE" w:rsidRPr="0072293A">
          <w:rPr>
            <w:rStyle w:val="ab"/>
            <w:rFonts w:ascii="IRBadr" w:hAnsi="IRBadr" w:cs="IRBadr"/>
            <w:b/>
            <w:bCs/>
            <w:noProof/>
            <w:rtl/>
          </w:rPr>
          <w:t>مرور بر مبانی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_Toc425552476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2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3176C7" w:rsidP="00DD65DE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2477" w:history="1">
        <w:r w:rsidR="00DD65DE" w:rsidRPr="0072293A">
          <w:rPr>
            <w:rStyle w:val="ab"/>
            <w:rFonts w:ascii="IRBadr" w:hAnsi="IRBadr" w:cs="IRBadr"/>
            <w:b/>
            <w:bCs/>
            <w:noProof/>
            <w:rtl/>
          </w:rPr>
          <w:t>مروری بر شواهد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_Toc425552477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2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3176C7" w:rsidP="00DD65DE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2478" w:history="1">
        <w:r w:rsidR="00DD65DE" w:rsidRPr="0072293A">
          <w:rPr>
            <w:rStyle w:val="ab"/>
            <w:rFonts w:ascii="IRBadr" w:hAnsi="IRBadr" w:cs="IRBadr"/>
            <w:b/>
            <w:bCs/>
            <w:noProof/>
            <w:rtl/>
          </w:rPr>
          <w:t>شاهد دوم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_Toc425552478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3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3176C7" w:rsidP="00DD65DE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2479" w:history="1">
        <w:r w:rsidR="00DD65DE" w:rsidRPr="0072293A">
          <w:rPr>
            <w:rStyle w:val="ab"/>
            <w:rFonts w:ascii="IRBadr" w:hAnsi="IRBadr" w:cs="IRBadr"/>
            <w:b/>
            <w:bCs/>
            <w:noProof/>
            <w:rtl/>
          </w:rPr>
          <w:t>شاهد سوم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_Toc425552479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3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3176C7" w:rsidP="00DD65DE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25552480" w:history="1">
        <w:r w:rsidR="0072293A">
          <w:rPr>
            <w:rStyle w:val="ab"/>
            <w:rFonts w:ascii="IRBadr" w:hAnsi="IRBadr" w:cs="IRBadr"/>
            <w:b/>
            <w:bCs/>
            <w:noProof/>
            <w:rtl/>
          </w:rPr>
          <w:t>جمع‌بندی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_Toc425552480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3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3176C7" w:rsidP="00DD65DE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481" w:history="1">
        <w:r w:rsidR="00DD65DE" w:rsidRPr="0072293A">
          <w:rPr>
            <w:rStyle w:val="ab"/>
            <w:rFonts w:ascii="IRBadr" w:hAnsi="IRBadr" w:cs="IRBadr"/>
            <w:b/>
            <w:bCs/>
            <w:noProof/>
            <w:rtl/>
          </w:rPr>
          <w:t>بحث رجالی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_Toc425552481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4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3176C7" w:rsidP="00DD65DE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482" w:history="1">
        <w:r w:rsidR="00DD65DE" w:rsidRPr="0072293A">
          <w:rPr>
            <w:rStyle w:val="ab"/>
            <w:rFonts w:ascii="IRBadr" w:hAnsi="IRBadr" w:cs="IRBadr"/>
            <w:b/>
            <w:bCs/>
            <w:noProof/>
            <w:rtl/>
          </w:rPr>
          <w:t>دامنه حد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_Toc425552482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4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3176C7" w:rsidP="00DD65DE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483" w:history="1">
        <w:r w:rsidR="00DD65DE" w:rsidRPr="0072293A">
          <w:rPr>
            <w:rStyle w:val="ab"/>
            <w:rFonts w:ascii="IRBadr" w:hAnsi="IRBadr" w:cs="IRBadr"/>
            <w:b/>
            <w:bCs/>
            <w:noProof/>
            <w:rtl/>
          </w:rPr>
          <w:t>دلایل شمول بحث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_Toc425552483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4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3176C7" w:rsidP="00DD65DE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484" w:history="1">
        <w:r w:rsidR="00DD65DE" w:rsidRPr="0072293A">
          <w:rPr>
            <w:rStyle w:val="ab"/>
            <w:rFonts w:ascii="IRBadr" w:hAnsi="IRBadr" w:cs="IRBadr"/>
            <w:b/>
            <w:bCs/>
            <w:noProof/>
            <w:rtl/>
          </w:rPr>
          <w:t xml:space="preserve">شمول دیه نسبت به </w:t>
        </w:r>
        <w:r w:rsidR="0072293A">
          <w:rPr>
            <w:rStyle w:val="ab"/>
            <w:rFonts w:ascii="IRBadr" w:hAnsi="IRBadr" w:cs="IRBadr"/>
            <w:b/>
            <w:bCs/>
            <w:noProof/>
            <w:rtl/>
          </w:rPr>
          <w:t>حق‌الناس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_Toc425552484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5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3176C7" w:rsidP="00DD65DE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485" w:history="1">
        <w:r w:rsidR="00DD65DE" w:rsidRPr="0072293A">
          <w:rPr>
            <w:rStyle w:val="ab"/>
            <w:rFonts w:ascii="IRBadr" w:hAnsi="IRBadr" w:cs="IRBadr"/>
            <w:b/>
            <w:bCs/>
            <w:noProof/>
            <w:rtl/>
          </w:rPr>
          <w:t>شمول نسبت به تعزیرات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_Toc425552485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5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3176C7" w:rsidP="00DD65DE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486" w:history="1">
        <w:r w:rsidR="0072293A">
          <w:rPr>
            <w:rStyle w:val="ab"/>
            <w:rFonts w:ascii="IRBadr" w:hAnsi="IRBadr" w:cs="IRBadr"/>
            <w:b/>
            <w:bCs/>
            <w:noProof/>
            <w:rtl/>
          </w:rPr>
          <w:t>جمع‌بندی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_Toc425552486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5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3176C7" w:rsidP="00DD65DE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487" w:history="1">
        <w:r w:rsidR="00DD65DE" w:rsidRPr="0072293A">
          <w:rPr>
            <w:rStyle w:val="ab"/>
            <w:rFonts w:ascii="IRBadr" w:hAnsi="IRBadr" w:cs="IRBadr"/>
            <w:b/>
            <w:bCs/>
            <w:noProof/>
            <w:rtl/>
          </w:rPr>
          <w:t>محل جرم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_Toc425552487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5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3176C7" w:rsidP="00DD65DE">
      <w:pPr>
        <w:pStyle w:val="4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488" w:history="1">
        <w:r w:rsidR="00DD65DE" w:rsidRPr="0072293A">
          <w:rPr>
            <w:rStyle w:val="ab"/>
            <w:rFonts w:ascii="IRBadr" w:hAnsi="IRBadr" w:cs="IRBadr"/>
            <w:b/>
            <w:bCs/>
            <w:noProof/>
            <w:rtl/>
          </w:rPr>
          <w:t>مراد از ارض عدو</w:t>
        </w:r>
        <w:r w:rsidR="00DD65DE" w:rsidRPr="0072293A">
          <w:rPr>
            <w:rFonts w:ascii="IRBadr" w:hAnsi="IRBadr" w:cs="IRBadr"/>
            <w:noProof/>
            <w:webHidden/>
          </w:rPr>
          <w:tab/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begin"/>
        </w:r>
        <w:r w:rsidR="00DD65DE" w:rsidRPr="0072293A">
          <w:rPr>
            <w:rFonts w:ascii="IRBadr" w:hAnsi="IRBadr" w:cs="IRBadr"/>
            <w:noProof/>
            <w:webHidden/>
          </w:rPr>
          <w:instrText xml:space="preserve"> PAGEREF _Toc425552488 \h </w:instrText>
        </w:r>
        <w:r w:rsidR="00DD65DE" w:rsidRPr="0072293A">
          <w:rPr>
            <w:rStyle w:val="ab"/>
            <w:rFonts w:ascii="IRBadr" w:hAnsi="IRBadr" w:cs="IRBadr"/>
            <w:noProof/>
            <w:rtl/>
          </w:rPr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DD65DE" w:rsidRPr="0072293A">
          <w:rPr>
            <w:rFonts w:ascii="IRBadr" w:hAnsi="IRBadr" w:cs="IRBadr"/>
            <w:noProof/>
            <w:webHidden/>
          </w:rPr>
          <w:t>6</w:t>
        </w:r>
        <w:r w:rsidR="00DD65DE" w:rsidRPr="0072293A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DD65DE" w:rsidRPr="0072293A" w:rsidRDefault="00DD65DE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DD65DE" w:rsidRPr="0072293A" w:rsidRDefault="00DD65DE">
      <w:pPr>
        <w:rPr>
          <w:rFonts w:ascii="IRBadr" w:eastAsiaTheme="majorEastAsia" w:hAnsi="IRBadr" w:cs="IRBadr"/>
          <w:b/>
          <w:bCs/>
          <w:sz w:val="36"/>
          <w:szCs w:val="36"/>
          <w:rtl/>
          <w:lang w:bidi="fa-IR"/>
        </w:rPr>
      </w:pPr>
      <w:bookmarkStart w:id="1" w:name="_Toc425552466"/>
      <w:bookmarkStart w:id="2" w:name="_Toc425552475"/>
      <w:r w:rsidRPr="0072293A">
        <w:rPr>
          <w:rFonts w:ascii="IRBadr" w:hAnsi="IRBadr" w:cs="IRBadr"/>
          <w:b/>
          <w:bCs/>
          <w:sz w:val="36"/>
          <w:szCs w:val="36"/>
          <w:rtl/>
          <w:lang w:bidi="fa-IR"/>
        </w:rPr>
        <w:br w:type="page"/>
      </w:r>
    </w:p>
    <w:p w:rsidR="00485D7E" w:rsidRPr="0072293A" w:rsidRDefault="00DD65DE" w:rsidP="00DD65DE">
      <w:pPr>
        <w:pStyle w:val="1"/>
        <w:bidi/>
        <w:jc w:val="both"/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</w:pPr>
      <w:r w:rsidRPr="0072293A">
        <w:rPr>
          <w:rFonts w:ascii="IRBadr" w:hAnsi="IRBadr" w:cs="IRBadr"/>
          <w:b/>
          <w:bCs/>
          <w:color w:val="auto"/>
          <w:sz w:val="36"/>
          <w:szCs w:val="36"/>
          <w:rtl/>
          <w:lang w:bidi="fa-IR"/>
        </w:rPr>
        <w:lastRenderedPageBreak/>
        <w:t>اقامه حد در بلاد کفر</w:t>
      </w:r>
      <w:bookmarkEnd w:id="1"/>
      <w:bookmarkEnd w:id="2"/>
    </w:p>
    <w:p w:rsidR="00485D7E" w:rsidRPr="0072293A" w:rsidRDefault="004D25B5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>بحث در اقامه حد در ارض کفر یا ارض العدو بود. یکی از فروعی که در اینجا مطرح شد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این بود که آیا این حکم اختصاص دارد به جایی که ترس از التحاق به عدو باشد یا اینکه حکم مطلق است</w:t>
      </w:r>
      <w:r w:rsidR="00485D7E" w:rsidRPr="0072293A">
        <w:rPr>
          <w:rFonts w:ascii="IRBadr" w:hAnsi="IRBadr" w:cs="IRBadr"/>
          <w:sz w:val="28"/>
          <w:szCs w:val="28"/>
          <w:rtl/>
          <w:lang w:bidi="fa-IR"/>
        </w:rPr>
        <w:t>؟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در یک طرف این اختلاف مشهور هستند که حکم را مطلق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می‌دانند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و از جمله جواهر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آقای خوانساری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آقای گلپایگانی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85D7E" w:rsidRPr="0072293A">
        <w:rPr>
          <w:rFonts w:ascii="IRBadr" w:hAnsi="IRBadr" w:cs="IRBadr"/>
          <w:sz w:val="28"/>
          <w:szCs w:val="28"/>
          <w:rtl/>
          <w:lang w:bidi="fa-IR"/>
        </w:rPr>
        <w:t>عند المعاصرین بر ا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ین تأیید کردند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و ظاهر فرمایش امام هم همین است. و طرف دیگر اختلاف هم کسانی هستند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اختصاص دارد به آنجا</w:t>
      </w:r>
      <w:r w:rsidR="00485D7E" w:rsidRPr="0072293A">
        <w:rPr>
          <w:rFonts w:ascii="IRBadr" w:hAnsi="IRBadr" w:cs="IRBadr"/>
          <w:sz w:val="28"/>
          <w:szCs w:val="28"/>
          <w:rtl/>
          <w:lang w:bidi="fa-IR"/>
        </w:rPr>
        <w:t>یی که ترس از التحاق به عدو باشد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که در این طرف هم مرحوم آقای خویی و آقای تبریزی هستند. مبنای این دو نفر و این اختلاف این است که این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جمله‌ای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که در روایت قیاس بن ابراهیم آمد</w:t>
      </w:r>
      <w:r w:rsidR="00485D7E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 xml:space="preserve"> مخافه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5D7E" w:rsidRPr="0072293A">
        <w:rPr>
          <w:rFonts w:ascii="IRBadr" w:hAnsi="IRBadr" w:cs="IRBadr"/>
          <w:sz w:val="28"/>
          <w:szCs w:val="28"/>
          <w:rtl/>
          <w:lang w:bidi="fa-IR"/>
        </w:rPr>
        <w:t>...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آیا حکمت است یا علت؟</w:t>
      </w:r>
    </w:p>
    <w:p w:rsidR="00485D7E" w:rsidRPr="0072293A" w:rsidRDefault="00D459D3" w:rsidP="00DD65DE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3" w:name="_Toc425552467"/>
      <w:bookmarkStart w:id="4" w:name="_Toc425552476"/>
      <w:r w:rsidRPr="0072293A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مرور بر مبانی</w:t>
      </w:r>
      <w:bookmarkEnd w:id="3"/>
      <w:bookmarkEnd w:id="4"/>
    </w:p>
    <w:p w:rsidR="00D459D3" w:rsidRPr="0072293A" w:rsidRDefault="004D25B5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مرحوم آقای خویی و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آقای تبریزی حفظه الله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طبق قاعده قائل شدند به اینکه این علت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و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قتی علت شد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حکم دایر مدار آن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نتیجه‌ای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ن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اگر جایی خوف از این التحاق نبود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85D7E" w:rsidRPr="0072293A">
        <w:rPr>
          <w:rFonts w:ascii="IRBadr" w:hAnsi="IRBadr" w:cs="IRBadr"/>
          <w:sz w:val="28"/>
          <w:szCs w:val="28"/>
          <w:rtl/>
          <w:lang w:bidi="fa-IR"/>
        </w:rPr>
        <w:t>دیگر این حکم نیست.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ظهور اولیه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تعلیل‌هایی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که در کلام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که ملاک حکم آن است.</w:t>
      </w:r>
    </w:p>
    <w:p w:rsidR="00D459D3" w:rsidRPr="0072293A" w:rsidRDefault="0072293A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مثل‌اینکه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 xml:space="preserve"> در مفهوم شرط هم </w:t>
      </w:r>
      <w:r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 xml:space="preserve">ظاهر مفهوم شرط این است که این تمام علت است برای طرف حکم. ظهور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جمله‌های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 xml:space="preserve"> تعلیلیه که با یک ادبیات تعلیلی ذکر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>این است که این علت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>و حکم دائر مدار اوست. این ظهور اولیه را مرحوم آقای خویی گرفتند و بر اساس آن معتقد شدند به اینکه حکم در جایی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>که ترس از التحاق به عدو باشد و ا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>ما اگر این ترس وجود نداشته باشد و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 xml:space="preserve"> اطمینانی است که او ملحق به عدو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>مانعی ندارد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459D3" w:rsidRPr="0072293A" w:rsidRDefault="00B37C46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 xml:space="preserve">و اما مشهور و از جمله آقای خوانساری و آقای گلپایگانی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>این تعلیل نیست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 xml:space="preserve">حکمت است. مثل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تعلیل‌هایی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 xml:space="preserve"> که در ابواب عبادات آمده که آنجا یک قاعده ثانوی 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>و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 xml:space="preserve"> حکمت است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 xml:space="preserve">علت نیست. مشهور و از جمله آقای گلپایگانی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>این علت نیست و حکمت است. حکمت که شد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 xml:space="preserve">قیدی به حکم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نمی‌زند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 xml:space="preserve"> حکم دائر مدار آن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4D25B5" w:rsidRPr="0072293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459D3" w:rsidRPr="0072293A" w:rsidRDefault="00D459D3" w:rsidP="00DD65DE">
      <w:pPr>
        <w:pStyle w:val="2"/>
        <w:bidi/>
        <w:jc w:val="both"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5" w:name="_Toc425552468"/>
      <w:bookmarkStart w:id="6" w:name="_Toc425552477"/>
      <w:r w:rsidRPr="0072293A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مروری بر شواهد</w:t>
      </w:r>
      <w:bookmarkEnd w:id="5"/>
      <w:bookmarkEnd w:id="6"/>
    </w:p>
    <w:p w:rsidR="00D459D3" w:rsidRPr="0072293A" w:rsidRDefault="004D25B5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کسانی که قائل به 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>حکمت‌اند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>، گفتند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ما قرائن و شواهدی داریم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که بر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 xml:space="preserve"> اساس آن باید حمل بر حکمت بودن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کنیم. یک قرینه که در کلام آقای خوانساری آمده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و آقای گلپایگانی هم این را تأکید کردند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 xml:space="preserve"> بود که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اگر بخواهیم روایت اول را به روایت دوم تقیید بزنیم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لازم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حمل مط</w:t>
      </w:r>
      <w:r w:rsidR="006409B3" w:rsidRPr="0072293A">
        <w:rPr>
          <w:rFonts w:ascii="IRBadr" w:hAnsi="IRBadr" w:cs="IRBadr"/>
          <w:sz w:val="28"/>
          <w:szCs w:val="28"/>
          <w:rtl/>
          <w:lang w:bidi="fa-IR"/>
        </w:rPr>
        <w:t>لق بر فرد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نادر. 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این جواب دادیم که در اینجا مصداق ندارد. و 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 xml:space="preserve">جای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تعجب 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>بود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چطور یکی از بزرگان 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 xml:space="preserve">این را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در کلامشان آورده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دیگران هم این را ت</w:t>
      </w:r>
      <w:r w:rsidR="006409B3" w:rsidRPr="0072293A">
        <w:rPr>
          <w:rFonts w:ascii="IRBadr" w:hAnsi="IRBadr" w:cs="IRBadr"/>
          <w:sz w:val="28"/>
          <w:szCs w:val="28"/>
          <w:rtl/>
          <w:lang w:bidi="fa-IR"/>
        </w:rPr>
        <w:t>کرار کردند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409B3" w:rsidRPr="0072293A">
        <w:rPr>
          <w:rFonts w:ascii="IRBadr" w:hAnsi="IRBadr" w:cs="IRBadr"/>
          <w:sz w:val="28"/>
          <w:szCs w:val="28"/>
          <w:rtl/>
          <w:lang w:bidi="fa-IR"/>
        </w:rPr>
        <w:t>که حمل مطلق بر فرد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نادر 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6409B3" w:rsidRPr="0072293A">
        <w:rPr>
          <w:rFonts w:ascii="IRBadr" w:hAnsi="IRBadr" w:cs="IRBadr"/>
          <w:sz w:val="28"/>
          <w:szCs w:val="28"/>
          <w:rtl/>
          <w:lang w:bidi="fa-IR"/>
        </w:rPr>
        <w:t>این را جواب دادیم.</w:t>
      </w:r>
    </w:p>
    <w:p w:rsidR="00DD6B4A" w:rsidRPr="0072293A" w:rsidRDefault="006409B3" w:rsidP="00DD65DE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 xml:space="preserve"> </w:t>
      </w:r>
      <w:bookmarkStart w:id="7" w:name="_Toc425552469"/>
      <w:bookmarkStart w:id="8" w:name="_Toc425552478"/>
      <w:r w:rsidR="00DD6B4A" w:rsidRPr="0072293A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شاهد دوم</w:t>
      </w:r>
      <w:bookmarkEnd w:id="7"/>
      <w:bookmarkEnd w:id="8"/>
    </w:p>
    <w:p w:rsidR="00DD6B4A" w:rsidRPr="0072293A" w:rsidRDefault="006409B3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>شاهد دوم که دیروز بحث کردیم این بود که این قید مخافه ان تحمله الحمیه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قید غالبی است. غالباً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وقتی کسی امکان فرار دارد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 xml:space="preserve"> و ما بر او حد جاری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کنیم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میل به دشمن پیدا 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لذا چون قید غالبی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>باید حمل بر قید توضیحی کنیم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نه قید احترازی تا علت</w:t>
      </w:r>
      <w:r w:rsidR="00D459D3" w:rsidRPr="0072293A">
        <w:rPr>
          <w:rFonts w:ascii="IRBadr" w:hAnsi="IRBadr" w:cs="IRBadr"/>
          <w:sz w:val="28"/>
          <w:szCs w:val="28"/>
          <w:rtl/>
          <w:lang w:bidi="fa-IR"/>
        </w:rPr>
        <w:t xml:space="preserve"> بشود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. این</w:t>
      </w:r>
      <w:r w:rsidR="00DD6B4A" w:rsidRPr="0072293A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هم جواب دادیم</w:t>
      </w:r>
      <w:r w:rsidR="00DD6B4A" w:rsidRPr="0072293A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ما کبرای این را از نظر اصولی قبول نداریم. این دو شاهد بود که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قرار گرفت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و هر دو پاسخ داده شد.</w:t>
      </w:r>
    </w:p>
    <w:p w:rsidR="00DD6B4A" w:rsidRPr="0072293A" w:rsidRDefault="00DD6B4A" w:rsidP="00DD65DE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9" w:name="_Toc425552470"/>
      <w:bookmarkStart w:id="10" w:name="_Toc425552479"/>
      <w:r w:rsidRPr="0072293A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شاهد سوم</w:t>
      </w:r>
      <w:bookmarkEnd w:id="9"/>
      <w:bookmarkEnd w:id="10"/>
    </w:p>
    <w:p w:rsidR="006E53BC" w:rsidRPr="0072293A" w:rsidRDefault="006409B3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>سو</w:t>
      </w:r>
      <w:r w:rsidR="00DD6B4A" w:rsidRPr="0072293A">
        <w:rPr>
          <w:rFonts w:ascii="IRBadr" w:hAnsi="IRBadr" w:cs="IRBadr"/>
          <w:sz w:val="28"/>
          <w:szCs w:val="28"/>
          <w:rtl/>
          <w:lang w:bidi="fa-IR"/>
        </w:rPr>
        <w:t xml:space="preserve">مین شاهدی که ممکن است کسی ادعا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این است که اگر ما این جمله را بر علیت</w:t>
      </w:r>
      <w:r w:rsidR="00DD6B4A" w:rsidRPr="0072293A">
        <w:rPr>
          <w:rFonts w:ascii="IRBadr" w:hAnsi="IRBadr" w:cs="IRBadr"/>
          <w:sz w:val="28"/>
          <w:szCs w:val="28"/>
          <w:rtl/>
          <w:lang w:bidi="fa-IR"/>
        </w:rPr>
        <w:t xml:space="preserve"> حمل بکنیم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نه حکمت</w:t>
      </w:r>
      <w:r w:rsidR="00DD6B4A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لازمه علیت </w:t>
      </w:r>
      <w:r w:rsidR="00DD6B4A" w:rsidRPr="0072293A">
        <w:rPr>
          <w:rFonts w:ascii="IRBadr" w:hAnsi="IRBadr" w:cs="IRBadr"/>
          <w:sz w:val="28"/>
          <w:szCs w:val="28"/>
          <w:rtl/>
          <w:lang w:bidi="fa-IR"/>
        </w:rPr>
        <w:t>امری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است که التزام به آن دشوار است. و لذا آن وقت</w:t>
      </w:r>
      <w:r w:rsidR="00DD6B4A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اصل علیت هم زیر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. لازمه علیت جمله آخر معتبره قیاس بن ابراهیم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که ملاک حکم عدم اقامه حد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این است که اقامه حد موجب التحاق فرد به عدو بشود. این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ملاک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آن وقت موضوع حکم ارض العدو نیست. بلکه موضوع حکم این است که هر جا اجرای حد و اقامه حد موجب التحاق این مجرم به عد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و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تمایل او به دشمن بشود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در آنجا نباید حد را اقامه کرد. لازمه این علیت این است</w:t>
      </w:r>
      <w:r w:rsidR="006E53BC" w:rsidRPr="0072293A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گفته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قاعده کلی است که العله تعمم و تخصص</w:t>
      </w:r>
      <w:r w:rsidR="006E53BC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به این که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موضوع حکم علت است نه آن چیزی که قبل از علت آمده است.</w:t>
      </w:r>
    </w:p>
    <w:p w:rsidR="00CE43DC" w:rsidRPr="0072293A" w:rsidRDefault="00CE43DC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البته از </w:t>
      </w:r>
      <w:r w:rsidR="00544392" w:rsidRPr="0072293A">
        <w:rPr>
          <w:rFonts w:ascii="IRBadr" w:hAnsi="IRBadr" w:cs="IRBadr"/>
          <w:sz w:val="28"/>
          <w:szCs w:val="28"/>
          <w:rtl/>
          <w:lang w:bidi="fa-IR"/>
        </w:rPr>
        <w:t xml:space="preserve">این شاهد هم ممکن است کسی جواب بدهد و بگوید ما ملتزم به این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می‌شویم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544392" w:rsidRPr="0072293A">
        <w:rPr>
          <w:rFonts w:ascii="IRBadr" w:hAnsi="IRBadr" w:cs="IRBadr"/>
          <w:sz w:val="28"/>
          <w:szCs w:val="28"/>
          <w:rtl/>
          <w:lang w:bidi="fa-IR"/>
        </w:rPr>
        <w:t xml:space="preserve"> در جایی که ترس از این است که اگر حد جاری بکنی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، او مهاجرت کلی </w:t>
      </w:r>
      <w:r w:rsidR="00544392" w:rsidRPr="0072293A">
        <w:rPr>
          <w:rFonts w:ascii="IRBadr" w:hAnsi="IRBadr" w:cs="IRBadr"/>
          <w:sz w:val="28"/>
          <w:szCs w:val="28"/>
          <w:rtl/>
          <w:lang w:bidi="fa-IR"/>
        </w:rPr>
        <w:t>کند و برود در 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امن دشمنانی که در حال جنگ هستند،</w:t>
      </w:r>
      <w:r w:rsidR="00544392" w:rsidRPr="0072293A">
        <w:rPr>
          <w:rFonts w:ascii="IRBadr" w:hAnsi="IRBadr" w:cs="IRBadr"/>
          <w:sz w:val="28"/>
          <w:szCs w:val="28"/>
          <w:rtl/>
          <w:lang w:bidi="fa-IR"/>
        </w:rPr>
        <w:t xml:space="preserve"> آنجا ه</w:t>
      </w:r>
      <w:r w:rsidR="004E539C" w:rsidRPr="0072293A">
        <w:rPr>
          <w:rFonts w:ascii="IRBadr" w:hAnsi="IRBadr" w:cs="IRBadr"/>
          <w:sz w:val="28"/>
          <w:szCs w:val="28"/>
          <w:rtl/>
          <w:lang w:bidi="fa-IR"/>
        </w:rPr>
        <w:t>م ما التزام به این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>می‌شویم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="004E539C" w:rsidRPr="0072293A">
        <w:rPr>
          <w:rFonts w:ascii="IRBadr" w:hAnsi="IRBadr" w:cs="IRBadr"/>
          <w:sz w:val="28"/>
          <w:szCs w:val="28"/>
          <w:rtl/>
          <w:lang w:bidi="fa-IR"/>
        </w:rPr>
        <w:t xml:space="preserve"> مانعی ندارد مگر اینکه ما در سیره امیر المومنین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(ع)</w:t>
      </w:r>
      <w:r w:rsidR="004E539C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دلیل معتبری پیدا </w:t>
      </w:r>
      <w:r w:rsidR="004E539C" w:rsidRPr="0072293A">
        <w:rPr>
          <w:rFonts w:ascii="IRBadr" w:hAnsi="IRBadr" w:cs="IRBadr"/>
          <w:sz w:val="28"/>
          <w:szCs w:val="28"/>
          <w:rtl/>
          <w:lang w:bidi="fa-IR"/>
        </w:rPr>
        <w:t>کنیم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E539C" w:rsidRPr="0072293A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علی‌رغم</w:t>
      </w:r>
      <w:r w:rsidR="004E539C"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 حکم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="004E539C" w:rsidRPr="0072293A">
        <w:rPr>
          <w:rFonts w:ascii="IRBadr" w:hAnsi="IRBadr" w:cs="IRBadr"/>
          <w:sz w:val="28"/>
          <w:szCs w:val="28"/>
          <w:rtl/>
          <w:lang w:bidi="fa-IR"/>
        </w:rPr>
        <w:t xml:space="preserve"> باز هم امیر المومنین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(ع) اجرای حد کردند،</w:t>
      </w:r>
      <w:r w:rsidR="004E539C"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 هم دلیل معتبری ندارد.</w:t>
      </w:r>
    </w:p>
    <w:p w:rsidR="00CE43DC" w:rsidRPr="0072293A" w:rsidRDefault="004E539C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>لذا پذیرش این</w:t>
      </w:r>
      <w:r w:rsidR="00CE43DC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با این شکل</w:t>
      </w:r>
      <w:r w:rsidR="00CE43DC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خیلی هم امر بعیدی نیست و فقها </w:t>
      </w:r>
      <w:r w:rsidR="00CE43DC" w:rsidRPr="0072293A">
        <w:rPr>
          <w:rFonts w:ascii="IRBadr" w:hAnsi="IRBadr" w:cs="IRBadr"/>
          <w:sz w:val="28"/>
          <w:szCs w:val="28"/>
          <w:rtl/>
          <w:lang w:bidi="fa-IR"/>
        </w:rPr>
        <w:t xml:space="preserve">خلاف این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فتوایی ندادند. ما فتوایی در فقها نداریم</w:t>
      </w:r>
      <w:r w:rsidR="00CE43DC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اینکه اگر در زاد الاسلام خوف از این بود که این فرد جدا از مسلمانان</w:t>
      </w:r>
      <w:r w:rsidR="00CE43DC" w:rsidRPr="0072293A">
        <w:rPr>
          <w:rFonts w:ascii="IRBadr" w:hAnsi="IRBadr" w:cs="IRBadr"/>
          <w:sz w:val="28"/>
          <w:szCs w:val="28"/>
          <w:rtl/>
          <w:lang w:bidi="fa-IR"/>
        </w:rPr>
        <w:t xml:space="preserve"> بشود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حد اجرا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. این در کلمات فقها </w:t>
      </w:r>
      <w:r w:rsidR="00CE43DC" w:rsidRPr="0072293A">
        <w:rPr>
          <w:rFonts w:ascii="IRBadr" w:hAnsi="IRBadr" w:cs="IRBadr"/>
          <w:sz w:val="28"/>
          <w:szCs w:val="28"/>
          <w:rtl/>
          <w:lang w:bidi="fa-IR"/>
        </w:rPr>
        <w:t xml:space="preserve">مسکوت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است. و لذا التزام به این </w:t>
      </w:r>
      <w:r w:rsidR="00CE43DC" w:rsidRPr="0072293A">
        <w:rPr>
          <w:rFonts w:ascii="IRBadr" w:hAnsi="IRBadr" w:cs="IRBadr"/>
          <w:sz w:val="28"/>
          <w:szCs w:val="28"/>
          <w:rtl/>
          <w:lang w:bidi="fa-IR"/>
        </w:rPr>
        <w:t xml:space="preserve">چندان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امر خلاف مسلم فقهی نیست.</w:t>
      </w:r>
    </w:p>
    <w:p w:rsidR="00CE43DC" w:rsidRPr="0072293A" w:rsidRDefault="0072293A" w:rsidP="00DD65DE">
      <w:pPr>
        <w:pStyle w:val="3"/>
        <w:bidi/>
        <w:jc w:val="both"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lastRenderedPageBreak/>
        <w:t>جمع‌بندی</w:t>
      </w:r>
    </w:p>
    <w:p w:rsidR="00CD04C2" w:rsidRPr="0072293A" w:rsidRDefault="004E539C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نتیجه‌ای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که تا به اینجا گرفتیم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این است که این سه شاهد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شواهد متقنی که </w:t>
      </w:r>
      <w:r w:rsidR="00CE43DC" w:rsidRPr="0072293A">
        <w:rPr>
          <w:rFonts w:ascii="IRBadr" w:hAnsi="IRBadr" w:cs="IRBadr"/>
          <w:sz w:val="28"/>
          <w:szCs w:val="28"/>
          <w:rtl/>
          <w:lang w:bidi="fa-IR"/>
        </w:rPr>
        <w:t>انسان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را مطمئن بکند به اینکه این حکمت است نه علت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نیست. برای اینکه هر یک از این سه شاهد قابل پاسخ بود. و لذا اگر ما تا اینجا برحسب ظاهر قضیه بخواهیم جلو</w:t>
      </w:r>
      <w:r w:rsidR="00CE43DC" w:rsidRPr="0072293A">
        <w:rPr>
          <w:rFonts w:ascii="IRBadr" w:hAnsi="IRBadr" w:cs="IRBadr"/>
          <w:sz w:val="28"/>
          <w:szCs w:val="28"/>
          <w:rtl/>
          <w:lang w:bidi="fa-IR"/>
        </w:rPr>
        <w:t xml:space="preserve"> بیاییم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بایستی بگوییم که این علت است و حکم عدم اقامه حد هم دائر مدار همین است.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 سه شاهد در کنار هم یک مقدار موجب تردید 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>شود</w:t>
      </w:r>
      <w:r w:rsidR="00CE43DC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با عبور با تردید از اینجا باید رجوع کنیم به قاعده تدرع الحدود. اگر بخواهیم به آن قاعده تدرع الحدود عمل کنیم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E43DC" w:rsidRPr="0072293A">
        <w:rPr>
          <w:rFonts w:ascii="IRBadr" w:hAnsi="IRBadr" w:cs="IRBadr"/>
          <w:sz w:val="28"/>
          <w:szCs w:val="28"/>
          <w:rtl/>
          <w:lang w:bidi="fa-IR"/>
        </w:rPr>
        <w:t>امر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دیگری غیر از چیزهایی که قبلاً گفتیم نتیجه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می‌گیریم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. و آن نتیجه ما این است که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نمی‌دانیم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 علت است یا حکمت. لازمه این تردید این است که هر جایی که اجرای حد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بشود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و یکی از این دو احتمال در آن تأثیر دارد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برای اینکه حد اجرا نشود. بگوییم چون شبهه است</w:t>
      </w:r>
      <w:r w:rsidR="00CD04C2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حد اجرا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D04C2" w:rsidRPr="0072293A" w:rsidRDefault="00CD04C2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>نظرمان همان نظر مشهور است</w:t>
      </w:r>
      <w:r w:rsidR="004933CA" w:rsidRPr="0072293A">
        <w:rPr>
          <w:rFonts w:ascii="IRBadr" w:hAnsi="IRBadr" w:cs="IRBadr"/>
          <w:sz w:val="28"/>
          <w:szCs w:val="28"/>
          <w:rtl/>
          <w:lang w:bidi="fa-IR"/>
        </w:rPr>
        <w:t xml:space="preserve"> و نظر آقای خویی و آقای تبریزی را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نمی‌پذیریم</w:t>
      </w:r>
      <w:r w:rsidR="004933CA" w:rsidRPr="0072293A">
        <w:rPr>
          <w:rFonts w:ascii="IRBadr" w:hAnsi="IRBadr" w:cs="IRBadr"/>
          <w:sz w:val="28"/>
          <w:szCs w:val="28"/>
          <w:rtl/>
          <w:lang w:bidi="fa-IR"/>
        </w:rPr>
        <w:t xml:space="preserve">. منتها در ارض اسلامش یک مقدار اختلاف فتاوا است و فتوای مساعدی با این وجود ندارد.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قبولش </w:t>
      </w:r>
      <w:r w:rsidR="004933CA" w:rsidRPr="0072293A">
        <w:rPr>
          <w:rFonts w:ascii="IRBadr" w:hAnsi="IRBadr" w:cs="IRBadr"/>
          <w:sz w:val="28"/>
          <w:szCs w:val="28"/>
          <w:rtl/>
          <w:lang w:bidi="fa-IR"/>
        </w:rPr>
        <w:t>دشوار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933CA" w:rsidRPr="0072293A">
        <w:rPr>
          <w:rFonts w:ascii="IRBadr" w:hAnsi="IRBadr" w:cs="IRBadr"/>
          <w:sz w:val="28"/>
          <w:szCs w:val="28"/>
          <w:rtl/>
          <w:lang w:bidi="fa-IR"/>
        </w:rPr>
        <w:t>ولی اگر به استدلال بخواهیم برویم جلو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933CA" w:rsidRPr="0072293A">
        <w:rPr>
          <w:rFonts w:ascii="IRBadr" w:hAnsi="IRBadr" w:cs="IRBadr"/>
          <w:sz w:val="28"/>
          <w:szCs w:val="28"/>
          <w:rtl/>
          <w:lang w:bidi="fa-IR"/>
        </w:rPr>
        <w:t xml:space="preserve">قاعده تدرع الحدود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4933CA" w:rsidRPr="0072293A">
        <w:rPr>
          <w:rFonts w:ascii="IRBadr" w:hAnsi="IRBadr" w:cs="IRBadr"/>
          <w:sz w:val="28"/>
          <w:szCs w:val="28"/>
          <w:rtl/>
          <w:lang w:bidi="fa-IR"/>
        </w:rPr>
        <w:t xml:space="preserve"> حد جاری نکن. این هم یک مسئله در اینجا که ما نهایتاً در بحث خودمان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933CA" w:rsidRPr="0072293A">
        <w:rPr>
          <w:rFonts w:ascii="IRBadr" w:hAnsi="IRBadr" w:cs="IRBadr"/>
          <w:sz w:val="28"/>
          <w:szCs w:val="28"/>
          <w:rtl/>
          <w:lang w:bidi="fa-IR"/>
        </w:rPr>
        <w:t>همان فتوای مشهور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صحیح است</w:t>
      </w:r>
      <w:r w:rsidR="004933CA" w:rsidRPr="0072293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D04C2" w:rsidRPr="0072293A" w:rsidRDefault="004933CA" w:rsidP="00DD65DE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 xml:space="preserve"> </w:t>
      </w:r>
      <w:bookmarkStart w:id="11" w:name="_Toc425552481"/>
      <w:r w:rsidR="00CD04C2" w:rsidRPr="0072293A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بحث رجالی</w:t>
      </w:r>
      <w:bookmarkEnd w:id="11"/>
    </w:p>
    <w:p w:rsidR="00CD04C2" w:rsidRPr="0072293A" w:rsidRDefault="00CD04C2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>این را هم اشاره کنم که</w:t>
      </w:r>
      <w:r w:rsidR="00AE49A1" w:rsidRPr="0072293A">
        <w:rPr>
          <w:rFonts w:ascii="IRBadr" w:hAnsi="IRBadr" w:cs="IRBadr"/>
          <w:sz w:val="28"/>
          <w:szCs w:val="28"/>
          <w:rtl/>
          <w:lang w:bidi="fa-IR"/>
        </w:rPr>
        <w:t xml:space="preserve"> هر دو روایت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موجود در بحث</w:t>
      </w:r>
      <w:r w:rsidR="00AE49A1" w:rsidRPr="0072293A">
        <w:rPr>
          <w:rFonts w:ascii="IRBadr" w:hAnsi="IRBadr" w:cs="IRBadr"/>
          <w:sz w:val="28"/>
          <w:szCs w:val="28"/>
          <w:rtl/>
          <w:lang w:bidi="fa-IR"/>
        </w:rPr>
        <w:t xml:space="preserve"> معتبره است. روایت اول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است که؛ </w:t>
      </w:r>
      <w:r w:rsidR="00AE49A1" w:rsidRPr="0072293A">
        <w:rPr>
          <w:rFonts w:ascii="IRBadr" w:hAnsi="IRBadr" w:cs="IRBadr"/>
          <w:sz w:val="28"/>
          <w:szCs w:val="28"/>
          <w:rtl/>
          <w:lang w:bidi="fa-IR"/>
        </w:rPr>
        <w:t>علی بن ابراهیم عن ابن فضال عن یونس بن یعقوب عن ابی مریم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="00AE49A1" w:rsidRPr="0072293A">
        <w:rPr>
          <w:rFonts w:ascii="IRBadr" w:hAnsi="IRBadr" w:cs="IRBadr"/>
          <w:sz w:val="28"/>
          <w:szCs w:val="28"/>
          <w:rtl/>
          <w:lang w:bidi="fa-IR"/>
        </w:rPr>
        <w:t xml:space="preserve"> عبد الغفار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AE49A1" w:rsidRPr="0072293A">
        <w:rPr>
          <w:rFonts w:ascii="IRBadr" w:hAnsi="IRBadr" w:cs="IRBadr"/>
          <w:sz w:val="28"/>
          <w:szCs w:val="28"/>
          <w:rtl/>
          <w:lang w:bidi="fa-IR"/>
        </w:rPr>
        <w:t>ابی مریم توثیق دارد.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E49A1" w:rsidRPr="0072293A">
        <w:rPr>
          <w:rFonts w:ascii="IRBadr" w:hAnsi="IRBadr" w:cs="IRBadr"/>
          <w:sz w:val="28"/>
          <w:szCs w:val="28"/>
          <w:rtl/>
          <w:lang w:bidi="fa-IR"/>
        </w:rPr>
        <w:t xml:space="preserve"> روایت دوم هم در قیاس بن ابراهیم بحث است که قیاس بن ابراهیم هم مشکلی ندارد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E49A1" w:rsidRPr="0072293A">
        <w:rPr>
          <w:rFonts w:ascii="IRBadr" w:hAnsi="IRBadr" w:cs="IRBadr"/>
          <w:sz w:val="28"/>
          <w:szCs w:val="28"/>
          <w:rtl/>
          <w:lang w:bidi="fa-IR"/>
        </w:rPr>
        <w:t>قابل توثیق است و حق این است که توثیق دارد.</w:t>
      </w:r>
    </w:p>
    <w:p w:rsidR="00CD04C2" w:rsidRPr="0072293A" w:rsidRDefault="00CD04C2" w:rsidP="00DD65DE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bookmarkStart w:id="12" w:name="_Toc425552482"/>
      <w:r w:rsidRPr="0072293A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دامنه حد</w:t>
      </w:r>
      <w:bookmarkEnd w:id="12"/>
    </w:p>
    <w:p w:rsidR="006D15BE" w:rsidRPr="0072293A" w:rsidRDefault="00AE49A1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فرع و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دیگر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ذیل این قاعده لا یقام الحد فی ارض العدو</w:t>
      </w:r>
      <w:r w:rsidR="00CD04C2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 است که ا</w:t>
      </w:r>
      <w:r w:rsidR="00CD04C2" w:rsidRPr="0072293A">
        <w:rPr>
          <w:rFonts w:ascii="IRBadr" w:hAnsi="IRBadr" w:cs="IRBadr"/>
          <w:sz w:val="28"/>
          <w:szCs w:val="28"/>
          <w:rtl/>
          <w:lang w:bidi="fa-IR"/>
        </w:rPr>
        <w:t xml:space="preserve">ین حد چه دامنه و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دایره‌ای</w:t>
      </w:r>
      <w:r w:rsidR="00CD04C2" w:rsidRPr="0072293A">
        <w:rPr>
          <w:rFonts w:ascii="IRBadr" w:hAnsi="IRBadr" w:cs="IRBadr"/>
          <w:sz w:val="28"/>
          <w:szCs w:val="28"/>
          <w:rtl/>
          <w:lang w:bidi="fa-IR"/>
        </w:rPr>
        <w:t xml:space="preserve"> دارد؟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اولاً اینجا روشن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که این اختصاص به باب زنا ندارد. گرچه </w:t>
      </w:r>
      <w:r w:rsidR="00CD04C2" w:rsidRPr="0072293A">
        <w:rPr>
          <w:rFonts w:ascii="IRBadr" w:hAnsi="IRBadr" w:cs="IRBadr"/>
          <w:sz w:val="28"/>
          <w:szCs w:val="28"/>
          <w:rtl/>
          <w:lang w:bidi="fa-IR"/>
        </w:rPr>
        <w:t>این حکم در بحث زنا مطرح شده است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ولی حکم اعم از باب </w:t>
      </w:r>
      <w:r w:rsidR="00CD04C2" w:rsidRPr="0072293A">
        <w:rPr>
          <w:rFonts w:ascii="IRBadr" w:hAnsi="IRBadr" w:cs="IRBadr"/>
          <w:sz w:val="28"/>
          <w:szCs w:val="28"/>
          <w:rtl/>
          <w:lang w:bidi="fa-IR"/>
        </w:rPr>
        <w:t>زنا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حدود دیگر </w:t>
      </w:r>
      <w:r w:rsidR="00CD04C2" w:rsidRPr="0072293A">
        <w:rPr>
          <w:rFonts w:ascii="IRBadr" w:hAnsi="IRBadr" w:cs="IRBadr"/>
          <w:sz w:val="28"/>
          <w:szCs w:val="28"/>
          <w:rtl/>
          <w:lang w:bidi="fa-IR"/>
        </w:rPr>
        <w:t>را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هم شامل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D04C2" w:rsidRPr="0072293A">
        <w:rPr>
          <w:rFonts w:ascii="IRBadr" w:hAnsi="IRBadr" w:cs="IRBadr"/>
          <w:sz w:val="28"/>
          <w:szCs w:val="28"/>
          <w:rtl/>
          <w:lang w:bidi="fa-IR"/>
        </w:rPr>
        <w:t>.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دلیلش این است که روایاتی که </w:t>
      </w:r>
      <w:r w:rsidR="00CD04C2" w:rsidRPr="0072293A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اینجا داشتیم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هم معتبره ابی مریم</w:t>
      </w:r>
      <w:r w:rsidR="00CD04C2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هم معتبره قیاس بن ابراهیم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هر دو روایت باب ده از ابواب مقدمات حدود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D04C2" w:rsidRPr="0072293A">
        <w:rPr>
          <w:rFonts w:ascii="IRBadr" w:hAnsi="IRBadr" w:cs="IRBadr"/>
          <w:sz w:val="28"/>
          <w:szCs w:val="28"/>
          <w:rtl/>
          <w:lang w:bidi="fa-IR"/>
        </w:rPr>
        <w:t xml:space="preserve">کلمه حد دارد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و</w:t>
      </w:r>
      <w:r w:rsidR="00950C7F" w:rsidRPr="0072293A">
        <w:rPr>
          <w:rFonts w:ascii="IRBadr" w:hAnsi="IRBadr" w:cs="IRBadr"/>
          <w:sz w:val="28"/>
          <w:szCs w:val="28"/>
          <w:rtl/>
          <w:lang w:bidi="fa-IR"/>
        </w:rPr>
        <w:t xml:space="preserve"> حد اطلاق دارد. هم حد زنا </w:t>
      </w:r>
      <w:r w:rsidR="006D15BE" w:rsidRPr="0072293A">
        <w:rPr>
          <w:rFonts w:ascii="IRBadr" w:hAnsi="IRBadr" w:cs="IRBadr"/>
          <w:sz w:val="28"/>
          <w:szCs w:val="28"/>
          <w:rtl/>
          <w:lang w:bidi="fa-IR"/>
        </w:rPr>
        <w:t>و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0C7F" w:rsidRPr="0072293A">
        <w:rPr>
          <w:rFonts w:ascii="IRBadr" w:hAnsi="IRBadr" w:cs="IRBadr"/>
          <w:sz w:val="28"/>
          <w:szCs w:val="28"/>
          <w:rtl/>
          <w:lang w:bidi="fa-IR"/>
        </w:rPr>
        <w:t xml:space="preserve">هم حد قذف را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6D15BE" w:rsidRPr="0072293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D15BE" w:rsidRPr="0072293A" w:rsidRDefault="006D15BE" w:rsidP="00DD65DE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bookmarkStart w:id="13" w:name="_Toc425552483"/>
      <w:r w:rsidRPr="0072293A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دلایل شمول بحث</w:t>
      </w:r>
      <w:bookmarkEnd w:id="13"/>
    </w:p>
    <w:p w:rsidR="00797AB0" w:rsidRPr="0072293A" w:rsidRDefault="00950C7F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این اولاً </w:t>
      </w:r>
      <w:r w:rsidR="006D15BE" w:rsidRPr="0072293A">
        <w:rPr>
          <w:rFonts w:ascii="IRBadr" w:hAnsi="IRBadr" w:cs="IRBadr"/>
          <w:sz w:val="28"/>
          <w:szCs w:val="28"/>
          <w:rtl/>
          <w:lang w:bidi="fa-IR"/>
        </w:rPr>
        <w:t>و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دوم اینکه شامل قتل و رجم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. علتش این است </w:t>
      </w:r>
      <w:r w:rsidR="006D15BE" w:rsidRPr="0072293A">
        <w:rPr>
          <w:rFonts w:ascii="IRBadr" w:hAnsi="IRBadr" w:cs="IRBadr"/>
          <w:sz w:val="28"/>
          <w:szCs w:val="28"/>
          <w:rtl/>
          <w:lang w:bidi="fa-IR"/>
        </w:rPr>
        <w:t>که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D15BE" w:rsidRPr="0072293A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روایت اول بایستی بگوییم انصراف دارد به جایی که این شخص خودش زنده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می‌ماند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. اما روایت دوم انصراف ندارد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ظهور روشن و صراحت دارد. برای اینکه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حتی یخرج منها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بعد هم 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>گفته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برای اینکه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می‌ترسند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که حدش 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>بزنند.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در جایی که رجم و قتل باشد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>، این حکم نیست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برای اینکه 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 xml:space="preserve">او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می‌میرد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دیگر موضوع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>ی وجود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ندارد.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هم نکته دومی که تقریباً در اینجا محل وفاق است و بحث مهمی ندارد.</w:t>
      </w:r>
    </w:p>
    <w:p w:rsidR="00797AB0" w:rsidRPr="0072293A" w:rsidRDefault="00797AB0" w:rsidP="00DD65DE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bookmarkStart w:id="14" w:name="_Toc425552484"/>
      <w:r w:rsidRPr="0072293A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 xml:space="preserve">شمول دیه نسبت به </w:t>
      </w:r>
      <w:r w:rsidR="0072293A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حق‌الناس</w:t>
      </w:r>
      <w:bookmarkEnd w:id="14"/>
    </w:p>
    <w:p w:rsidR="00797AB0" w:rsidRPr="0072293A" w:rsidRDefault="00950C7F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نکته سوم در این بحث این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آیا قصاص و دیات آن حدودی که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را شامل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 xml:space="preserve"> یا نه؟ حقوقی که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آن را هم ظاهراً شاملش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. یعنی قصاص و دیات مشمول این قاعده لا یقام الحد بارض العدو نیست.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 xml:space="preserve"> آن مشمول این حکم نیست</w:t>
      </w:r>
      <w:r w:rsidR="00CD3801" w:rsidRPr="0072293A">
        <w:rPr>
          <w:rFonts w:ascii="IRBadr" w:hAnsi="IRBadr" w:cs="IRBadr"/>
          <w:sz w:val="28"/>
          <w:szCs w:val="28"/>
          <w:rtl/>
          <w:lang w:bidi="fa-IR"/>
        </w:rPr>
        <w:t xml:space="preserve"> چون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="00CD3801" w:rsidRPr="0072293A">
        <w:rPr>
          <w:rFonts w:ascii="IRBadr" w:hAnsi="IRBadr" w:cs="IRBadr"/>
          <w:sz w:val="28"/>
          <w:szCs w:val="28"/>
          <w:rtl/>
          <w:lang w:bidi="fa-IR"/>
        </w:rPr>
        <w:t xml:space="preserve"> است و این روایت انصراف دارد از حقوق ناس.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="00CD3801" w:rsidRPr="0072293A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CD3801" w:rsidRPr="0072293A">
        <w:rPr>
          <w:rFonts w:ascii="IRBadr" w:hAnsi="IRBadr" w:cs="IRBadr"/>
          <w:sz w:val="28"/>
          <w:szCs w:val="28"/>
          <w:rtl/>
          <w:lang w:bidi="fa-IR"/>
        </w:rPr>
        <w:t xml:space="preserve"> تأخیر انداخت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D3801" w:rsidRPr="0072293A">
        <w:rPr>
          <w:rFonts w:ascii="IRBadr" w:hAnsi="IRBadr" w:cs="IRBadr"/>
          <w:sz w:val="28"/>
          <w:szCs w:val="28"/>
          <w:rtl/>
          <w:lang w:bidi="fa-IR"/>
        </w:rPr>
        <w:t xml:space="preserve">چون در ارض عدو است و احتمال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می‌دهیم</w:t>
      </w:r>
      <w:r w:rsidR="00CD3801" w:rsidRPr="0072293A">
        <w:rPr>
          <w:rFonts w:ascii="IRBadr" w:hAnsi="IRBadr" w:cs="IRBadr"/>
          <w:sz w:val="28"/>
          <w:szCs w:val="28"/>
          <w:rtl/>
          <w:lang w:bidi="fa-IR"/>
        </w:rPr>
        <w:t xml:space="preserve"> به دشمن ملحق بشود.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 xml:space="preserve"> پس این در حدود ال</w:t>
      </w:r>
      <w:r w:rsidR="00CD3801" w:rsidRPr="0072293A">
        <w:rPr>
          <w:rFonts w:ascii="IRBadr" w:hAnsi="IRBadr" w:cs="IRBadr"/>
          <w:sz w:val="28"/>
          <w:szCs w:val="28"/>
          <w:rtl/>
          <w:lang w:bidi="fa-IR"/>
        </w:rPr>
        <w:t>هی است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CD3801" w:rsidRPr="0072293A">
        <w:rPr>
          <w:rFonts w:ascii="IRBadr" w:hAnsi="IRBadr" w:cs="IRBadr"/>
          <w:sz w:val="28"/>
          <w:szCs w:val="28"/>
          <w:rtl/>
          <w:lang w:bidi="fa-IR"/>
        </w:rPr>
        <w:t xml:space="preserve"> در حدودی که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="00CD3801" w:rsidRPr="0072293A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CD3801" w:rsidRPr="0072293A">
        <w:rPr>
          <w:rFonts w:ascii="IRBadr" w:hAnsi="IRBadr" w:cs="IRBadr"/>
          <w:sz w:val="28"/>
          <w:szCs w:val="28"/>
          <w:rtl/>
          <w:lang w:bidi="fa-IR"/>
        </w:rPr>
        <w:t xml:space="preserve"> که دیات هم مشمول این نیست.</w:t>
      </w:r>
    </w:p>
    <w:p w:rsidR="00797AB0" w:rsidRPr="0072293A" w:rsidRDefault="00797AB0" w:rsidP="00DD65DE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bookmarkStart w:id="15" w:name="_Toc425552485"/>
      <w:r w:rsidRPr="0072293A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شمول نسبت به تعزیرات</w:t>
      </w:r>
      <w:bookmarkEnd w:id="15"/>
    </w:p>
    <w:p w:rsidR="00797AB0" w:rsidRPr="0072293A" w:rsidRDefault="00CD3801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آیا شامل تعزیرات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؟ تعزیرات هم تابع این است که بگوییم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در اینجا به معنای عام به کار رفته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که هم تعزیر را بگیرد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 xml:space="preserve">هم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حد به معنای خاص 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>را،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 هم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وجود ندارد که اینجا حد به کدام از دو معنا به کار رفته است و لذا به خاطر خود دلیل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>اجمال دارد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که منظور حد مقابل تعزیر است یا حد بمعنی العام است که یشمل التعزیر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این هم قرینه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معینه‌ای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ندارد.</w:t>
      </w:r>
    </w:p>
    <w:p w:rsidR="001F3639" w:rsidRPr="0072293A" w:rsidRDefault="00CD3801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>اگر گفتیم تعزیرات مشمول قاعده تدرع الحدود نیست</w:t>
      </w:r>
      <w:r w:rsidR="00797AB0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آن وقت قدر متیقن این روایت را باید گرفت. دست آخر هم حکم را اجرا بکند. ق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>بلاً هم گفتیم که تدرع الحدود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تعزیرات را ظاهراً شامل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>. این هم به لحاظ تعزیرات است و ط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بعاً آن وقت تعزیرات غیر بدنی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جریمه‌های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مالی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 xml:space="preserve"> تابع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خود همان حکمی است که درباره تعزیرات گفتیم.</w:t>
      </w:r>
    </w:p>
    <w:p w:rsidR="001F3639" w:rsidRPr="0072293A" w:rsidRDefault="0072293A" w:rsidP="00DD65DE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جمع‌بندی</w:t>
      </w:r>
    </w:p>
    <w:p w:rsidR="001F3639" w:rsidRPr="0072293A" w:rsidRDefault="00CD3801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>ب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>نابراین نتیجه بحث اینجا این است که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 قاعده لا یقام الحد علی احد بارض العدو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اعم از زنا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آن حدود دیگر الهی را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. دوم اینکه حد قتل و رجم را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. سوم اینکه قصاص و دیات را هم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 xml:space="preserve"> دربر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. چهارم اینکه شامل تعزیرات نیست.</w:t>
      </w:r>
    </w:p>
    <w:p w:rsidR="001F3639" w:rsidRPr="0072293A" w:rsidRDefault="001F3639" w:rsidP="00DD65DE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bookmarkStart w:id="16" w:name="_Toc425552487"/>
      <w:r w:rsidRPr="0072293A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محل جرم</w:t>
      </w:r>
      <w:bookmarkEnd w:id="16"/>
    </w:p>
    <w:p w:rsidR="001F3639" w:rsidRPr="0072293A" w:rsidRDefault="00CD3801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>فرع و نکته دیگری که باز در ادامه بحث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اینجا مطرح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است که این حکم مربوط به کجاست؟ جایی که جرم در ارض اسلام اتفاق افتاده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تا آنجا بخواهد اجرای حد بکند یا مخصوص به جایی است که جرم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 xml:space="preserve"> در خود سرزمین کفر واقع شده است؟</w:t>
      </w:r>
    </w:p>
    <w:p w:rsidR="001F3639" w:rsidRPr="0072293A" w:rsidRDefault="00CD3801" w:rsidP="00DD65DE">
      <w:pPr>
        <w:pStyle w:val="aa"/>
        <w:bidi/>
        <w:spacing w:line="276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جواب این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هم واضح است. جوابش این است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وقتی ملاک عدم اقامه حد در ارض عدو این است که هنگامی که حاکم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اجرای حد بکند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این شخص در ارض عدو است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فرقی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اطلاق دارد روایات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که گناه را و موجب حد را در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همان‌جا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اتیان کرده باشد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>یا اینکه نه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اینجا خلاف کرده است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>.</w:t>
      </w:r>
      <w:r w:rsidR="00710C01" w:rsidRPr="0072293A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اطلاق دارد. آنی که مهم است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این است وقتی ثابت شد و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می‌خواهند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اجرا بکنند</w:t>
      </w:r>
      <w:r w:rsidR="00B37C46" w:rsidRPr="0072293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در ارض عدو هستند.</w:t>
      </w:r>
    </w:p>
    <w:p w:rsidR="001F3639" w:rsidRPr="0072293A" w:rsidRDefault="00CD3801" w:rsidP="00DD65DE">
      <w:pPr>
        <w:pStyle w:val="4"/>
        <w:bidi/>
        <w:jc w:val="both"/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 xml:space="preserve"> </w:t>
      </w:r>
      <w:bookmarkStart w:id="17" w:name="_Toc425552488"/>
      <w:r w:rsidR="001F3639" w:rsidRPr="0072293A">
        <w:rPr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  <w:lang w:bidi="fa-IR"/>
        </w:rPr>
        <w:t>مراد از ارض عدو</w:t>
      </w:r>
      <w:bookmarkEnd w:id="17"/>
    </w:p>
    <w:p w:rsidR="001F3639" w:rsidRPr="0072293A" w:rsidRDefault="00B37C46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فرع بعدی که فرد انشا الله 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 xml:space="preserve">مطرح می‌کنم،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این است که منظور از این ارض عدو چیست؟ فقها راجع آن 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 xml:space="preserve">بحث نکردند، 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ولی جای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 xml:space="preserve"> است که منظور از ارض عدو چی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ست؟ آیا منظور مطلق ارض کفر است که به آن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دار الکفر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یا اینکه نه</w:t>
      </w:r>
      <w:r w:rsidR="001F3639" w:rsidRPr="0072293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جایی است که جنگی بین مسلمانان و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غیرمسلمانان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برقرار است. یعنی در جایی که در </w:t>
      </w:r>
      <w:r w:rsidR="0072293A">
        <w:rPr>
          <w:rFonts w:ascii="IRBadr" w:hAnsi="IRBadr" w:cs="IRBadr"/>
          <w:sz w:val="28"/>
          <w:szCs w:val="28"/>
          <w:rtl/>
          <w:lang w:bidi="fa-IR"/>
        </w:rPr>
        <w:t>محدوده‌ای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A53F52" w:rsidRPr="0072293A">
        <w:rPr>
          <w:rFonts w:ascii="IRBadr" w:hAnsi="IRBadr" w:cs="IRBadr"/>
          <w:sz w:val="28"/>
          <w:szCs w:val="28"/>
          <w:rtl/>
          <w:lang w:bidi="fa-IR"/>
        </w:rPr>
        <w:t>مسلمان‌ها</w:t>
      </w:r>
      <w:r w:rsidRPr="0072293A">
        <w:rPr>
          <w:rFonts w:ascii="IRBadr" w:hAnsi="IRBadr" w:cs="IRBadr"/>
          <w:sz w:val="28"/>
          <w:szCs w:val="28"/>
          <w:rtl/>
          <w:lang w:bidi="fa-IR"/>
        </w:rPr>
        <w:t xml:space="preserve"> در حالت جنگ هستند، و در حال سلم نیستند.</w:t>
      </w:r>
    </w:p>
    <w:p w:rsidR="00B20B33" w:rsidRPr="003176C7" w:rsidRDefault="00B20B33" w:rsidP="00DD65D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B20B33" w:rsidRPr="003176C7" w:rsidSect="00034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E3" w:rsidRDefault="005215E3" w:rsidP="00B20B33">
      <w:pPr>
        <w:spacing w:after="0" w:line="240" w:lineRule="auto"/>
      </w:pPr>
      <w:r>
        <w:separator/>
      </w:r>
    </w:p>
  </w:endnote>
  <w:endnote w:type="continuationSeparator" w:id="0">
    <w:p w:rsidR="005215E3" w:rsidRDefault="005215E3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C7" w:rsidRDefault="003176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C7" w:rsidRDefault="003176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C7" w:rsidRDefault="003176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E3" w:rsidRDefault="005215E3" w:rsidP="00B20B33">
      <w:pPr>
        <w:spacing w:after="0" w:line="240" w:lineRule="auto"/>
      </w:pPr>
      <w:r>
        <w:separator/>
      </w:r>
    </w:p>
  </w:footnote>
  <w:footnote w:type="continuationSeparator" w:id="0">
    <w:p w:rsidR="005215E3" w:rsidRDefault="005215E3" w:rsidP="00B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C7" w:rsidRDefault="003176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C7" w:rsidRPr="00034F7C" w:rsidRDefault="003176C7" w:rsidP="00034F7C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8" w:name="OLE_LINK1"/>
    <w:bookmarkStart w:id="19" w:name="OLE_LINK2"/>
    <w:r>
      <w:rPr>
        <w:noProof/>
        <w:lang w:bidi="fa-IR"/>
      </w:rPr>
      <w:drawing>
        <wp:inline distT="0" distB="0" distL="0" distR="0" wp14:anchorId="4662F29D" wp14:editId="5D0240A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>
      <w:rPr>
        <w:rFonts w:ascii="IranNastaliq" w:hAnsi="IranNastaliq" w:cs="IranNastaliq"/>
        <w:sz w:val="40"/>
        <w:szCs w:val="40"/>
        <w:rtl/>
      </w:rPr>
      <w:t xml:space="preserve"> </w:t>
    </w:r>
    <w:r w:rsidRPr="00B17B69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/>
        <w:sz w:val="40"/>
        <w:szCs w:val="40"/>
      </w:rPr>
      <w:t>751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C7" w:rsidRDefault="00317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34F7C"/>
    <w:rsid w:val="00061DDB"/>
    <w:rsid w:val="00093436"/>
    <w:rsid w:val="000C7707"/>
    <w:rsid w:val="00114323"/>
    <w:rsid w:val="0013086F"/>
    <w:rsid w:val="0013532B"/>
    <w:rsid w:val="00157D98"/>
    <w:rsid w:val="001F3639"/>
    <w:rsid w:val="00230AB1"/>
    <w:rsid w:val="002569BF"/>
    <w:rsid w:val="003176C7"/>
    <w:rsid w:val="00420A98"/>
    <w:rsid w:val="00485D7E"/>
    <w:rsid w:val="004933CA"/>
    <w:rsid w:val="004D25B5"/>
    <w:rsid w:val="004D74CB"/>
    <w:rsid w:val="004E539C"/>
    <w:rsid w:val="005215E3"/>
    <w:rsid w:val="00544392"/>
    <w:rsid w:val="005540C8"/>
    <w:rsid w:val="005F48DC"/>
    <w:rsid w:val="006409B3"/>
    <w:rsid w:val="006D15BE"/>
    <w:rsid w:val="006E53BC"/>
    <w:rsid w:val="00710C01"/>
    <w:rsid w:val="0072293A"/>
    <w:rsid w:val="007339F8"/>
    <w:rsid w:val="00767C10"/>
    <w:rsid w:val="00797AB0"/>
    <w:rsid w:val="007B031A"/>
    <w:rsid w:val="0081309E"/>
    <w:rsid w:val="00834DEB"/>
    <w:rsid w:val="008C1209"/>
    <w:rsid w:val="008D3216"/>
    <w:rsid w:val="00950C7F"/>
    <w:rsid w:val="00952C9A"/>
    <w:rsid w:val="009A5E11"/>
    <w:rsid w:val="00A53F52"/>
    <w:rsid w:val="00A7495D"/>
    <w:rsid w:val="00AE49A1"/>
    <w:rsid w:val="00B20B33"/>
    <w:rsid w:val="00B36156"/>
    <w:rsid w:val="00B37C46"/>
    <w:rsid w:val="00BA28C4"/>
    <w:rsid w:val="00BB1193"/>
    <w:rsid w:val="00C046DD"/>
    <w:rsid w:val="00CC36E3"/>
    <w:rsid w:val="00CD04C2"/>
    <w:rsid w:val="00CD3801"/>
    <w:rsid w:val="00CE1B92"/>
    <w:rsid w:val="00CE43DC"/>
    <w:rsid w:val="00CF6DCC"/>
    <w:rsid w:val="00D459D3"/>
    <w:rsid w:val="00D75E7F"/>
    <w:rsid w:val="00DD4C0A"/>
    <w:rsid w:val="00DD520D"/>
    <w:rsid w:val="00DD65DE"/>
    <w:rsid w:val="00DD6B4A"/>
    <w:rsid w:val="00F1173B"/>
    <w:rsid w:val="00F624D3"/>
    <w:rsid w:val="00F72FDB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485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59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5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034F7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85D7E"/>
    <w:pPr>
      <w:spacing w:after="0" w:line="240" w:lineRule="auto"/>
    </w:pPr>
  </w:style>
  <w:style w:type="character" w:customStyle="1" w:styleId="10">
    <w:name w:val="عنوان 1 نویسه"/>
    <w:basedOn w:val="a0"/>
    <w:link w:val="1"/>
    <w:uiPriority w:val="9"/>
    <w:rsid w:val="00485D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D459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D459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6D15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D65D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D65D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D65DE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DD65DE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DD65DE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C94F-7E90-49EE-9E7F-8DD2F498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Ali-110</cp:lastModifiedBy>
  <cp:revision>16</cp:revision>
  <dcterms:created xsi:type="dcterms:W3CDTF">2013-01-07T10:09:00Z</dcterms:created>
  <dcterms:modified xsi:type="dcterms:W3CDTF">2015-07-28T12:01:00Z</dcterms:modified>
</cp:coreProperties>
</file>