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6136C" w:rsidRPr="00010121" w:rsidTr="00081F71">
        <w:tc>
          <w:tcPr>
            <w:tcW w:w="4788" w:type="dxa"/>
          </w:tcPr>
          <w:p w:rsidR="0076136C" w:rsidRPr="00010121" w:rsidRDefault="0076136C" w:rsidP="00DC4EC1">
            <w:pPr>
              <w:bidi/>
              <w:jc w:val="both"/>
              <w:rPr>
                <w:rFonts w:ascii="IRBadr" w:hAnsi="IRBadr" w:cs="IRBadr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8" w:type="dxa"/>
          </w:tcPr>
          <w:p w:rsidR="0076136C" w:rsidRPr="00010121" w:rsidRDefault="0076136C" w:rsidP="00DC4EC1">
            <w:pPr>
              <w:bidi/>
              <w:jc w:val="both"/>
              <w:rPr>
                <w:rFonts w:ascii="IRBadr" w:hAnsi="IRBadr" w:cs="IRBadr"/>
                <w:sz w:val="28"/>
                <w:szCs w:val="28"/>
                <w:rtl/>
                <w:lang w:bidi="fa-IR"/>
              </w:rPr>
            </w:pPr>
          </w:p>
        </w:tc>
      </w:tr>
    </w:tbl>
    <w:p w:rsidR="0076136C" w:rsidRPr="00010121" w:rsidRDefault="0076136C" w:rsidP="00DC4E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0121">
        <w:rPr>
          <w:rFonts w:ascii="IRBadr" w:hAnsi="IRBadr" w:cs="IRBadr"/>
          <w:sz w:val="28"/>
          <w:szCs w:val="28"/>
          <w:rtl/>
          <w:lang w:bidi="fa-IR"/>
        </w:rPr>
        <w:t>بسم الله الرحمن الرحیم</w:t>
      </w:r>
    </w:p>
    <w:p w:rsidR="00E97E00" w:rsidRPr="00010121" w:rsidRDefault="00E97E00" w:rsidP="00E97E0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0121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7418EC" w:rsidRPr="00010121" w:rsidRDefault="00E97E00" w:rsidP="007418EC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010121">
        <w:rPr>
          <w:rFonts w:ascii="IRBadr" w:hAnsi="IRBadr" w:cs="IRBadr"/>
          <w:sz w:val="28"/>
          <w:rtl/>
        </w:rPr>
        <w:fldChar w:fldCharType="begin"/>
      </w:r>
      <w:r w:rsidRPr="00010121">
        <w:rPr>
          <w:rFonts w:ascii="IRBadr" w:hAnsi="IRBadr" w:cs="IRBadr"/>
          <w:sz w:val="28"/>
          <w:rtl/>
        </w:rPr>
        <w:instrText xml:space="preserve"> </w:instrText>
      </w:r>
      <w:r w:rsidRPr="00010121">
        <w:rPr>
          <w:rFonts w:ascii="IRBadr" w:hAnsi="IRBadr" w:cs="IRBadr"/>
          <w:sz w:val="28"/>
        </w:rPr>
        <w:instrText>TOC</w:instrText>
      </w:r>
      <w:r w:rsidRPr="00010121">
        <w:rPr>
          <w:rFonts w:ascii="IRBadr" w:hAnsi="IRBadr" w:cs="IRBadr"/>
          <w:sz w:val="28"/>
          <w:rtl/>
        </w:rPr>
        <w:instrText xml:space="preserve"> \</w:instrText>
      </w:r>
      <w:r w:rsidRPr="00010121">
        <w:rPr>
          <w:rFonts w:ascii="IRBadr" w:hAnsi="IRBadr" w:cs="IRBadr"/>
          <w:sz w:val="28"/>
        </w:rPr>
        <w:instrText>o "</w:instrText>
      </w:r>
      <w:r w:rsidRPr="00010121">
        <w:rPr>
          <w:rFonts w:ascii="IRBadr" w:hAnsi="IRBadr" w:cs="IRBadr"/>
          <w:sz w:val="28"/>
          <w:rtl/>
        </w:rPr>
        <w:instrText>1-4</w:instrText>
      </w:r>
      <w:r w:rsidRPr="00010121">
        <w:rPr>
          <w:rFonts w:ascii="IRBadr" w:hAnsi="IRBadr" w:cs="IRBadr"/>
          <w:sz w:val="28"/>
        </w:rPr>
        <w:instrText>" \h \z \u</w:instrText>
      </w:r>
      <w:r w:rsidRPr="00010121">
        <w:rPr>
          <w:rFonts w:ascii="IRBadr" w:hAnsi="IRBadr" w:cs="IRBadr"/>
          <w:sz w:val="28"/>
          <w:rtl/>
        </w:rPr>
        <w:instrText xml:space="preserve"> </w:instrText>
      </w:r>
      <w:r w:rsidRPr="00010121">
        <w:rPr>
          <w:rFonts w:ascii="IRBadr" w:hAnsi="IRBadr" w:cs="IRBadr"/>
          <w:sz w:val="28"/>
          <w:rtl/>
        </w:rPr>
        <w:fldChar w:fldCharType="separate"/>
      </w:r>
      <w:hyperlink w:anchor="_Toc425844252" w:history="1">
        <w:r w:rsidR="007418EC" w:rsidRPr="00010121">
          <w:rPr>
            <w:rStyle w:val="Hyperlink"/>
            <w:rFonts w:ascii="IRBadr" w:hAnsi="IRBadr" w:cs="IRBadr"/>
            <w:noProof/>
            <w:rtl/>
          </w:rPr>
          <w:t>کیفیت حد</w:t>
        </w:r>
        <w:r w:rsidR="007418EC" w:rsidRPr="00010121">
          <w:rPr>
            <w:rFonts w:ascii="IRBadr" w:hAnsi="IRBadr" w:cs="IRBadr"/>
            <w:noProof/>
            <w:webHidden/>
          </w:rPr>
          <w:tab/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418EC" w:rsidRPr="00010121">
          <w:rPr>
            <w:rFonts w:ascii="IRBadr" w:hAnsi="IRBadr" w:cs="IRBadr"/>
            <w:noProof/>
            <w:webHidden/>
          </w:rPr>
          <w:instrText xml:space="preserve"> PAGEREF _Toc425844252 \h </w:instrText>
        </w:r>
        <w:r w:rsidR="007418EC" w:rsidRPr="00010121">
          <w:rPr>
            <w:rStyle w:val="Hyperlink"/>
            <w:rFonts w:ascii="IRBadr" w:hAnsi="IRBadr" w:cs="IRBadr"/>
            <w:noProof/>
            <w:rtl/>
          </w:rPr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418EC" w:rsidRPr="00010121">
          <w:rPr>
            <w:rFonts w:ascii="IRBadr" w:hAnsi="IRBadr" w:cs="IRBadr"/>
            <w:noProof/>
            <w:webHidden/>
          </w:rPr>
          <w:t>1</w:t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418EC" w:rsidRPr="00010121" w:rsidRDefault="004A35B9" w:rsidP="007418EC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253" w:history="1">
        <w:r w:rsidR="007418EC" w:rsidRPr="00010121">
          <w:rPr>
            <w:rStyle w:val="Hyperlink"/>
            <w:rFonts w:ascii="IRBadr" w:hAnsi="IRBadr" w:cs="IRBadr"/>
            <w:noProof/>
            <w:rtl/>
          </w:rPr>
          <w:t>لزوم برهنگی در هنگام اجرای حد</w:t>
        </w:r>
        <w:r w:rsidR="007418EC" w:rsidRPr="00010121">
          <w:rPr>
            <w:rFonts w:ascii="IRBadr" w:hAnsi="IRBadr" w:cs="IRBadr"/>
            <w:noProof/>
            <w:webHidden/>
          </w:rPr>
          <w:tab/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418EC" w:rsidRPr="00010121">
          <w:rPr>
            <w:rFonts w:ascii="IRBadr" w:hAnsi="IRBadr" w:cs="IRBadr"/>
            <w:noProof/>
            <w:webHidden/>
          </w:rPr>
          <w:instrText xml:space="preserve"> PAGEREF _Toc425844253 \h </w:instrText>
        </w:r>
        <w:r w:rsidR="007418EC" w:rsidRPr="00010121">
          <w:rPr>
            <w:rStyle w:val="Hyperlink"/>
            <w:rFonts w:ascii="IRBadr" w:hAnsi="IRBadr" w:cs="IRBadr"/>
            <w:noProof/>
            <w:rtl/>
          </w:rPr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418EC" w:rsidRPr="00010121">
          <w:rPr>
            <w:rFonts w:ascii="IRBadr" w:hAnsi="IRBadr" w:cs="IRBadr"/>
            <w:noProof/>
            <w:webHidden/>
          </w:rPr>
          <w:t>2</w:t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418EC" w:rsidRPr="00010121" w:rsidRDefault="004A35B9" w:rsidP="007418EC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254" w:history="1">
        <w:r w:rsidR="007418EC" w:rsidRPr="00010121">
          <w:rPr>
            <w:rStyle w:val="Hyperlink"/>
            <w:rFonts w:ascii="IRBadr" w:hAnsi="IRBadr" w:cs="IRBadr"/>
            <w:noProof/>
            <w:rtl/>
          </w:rPr>
          <w:t>اقوال در پوشش مرد هنگام حد</w:t>
        </w:r>
        <w:r w:rsidR="007418EC" w:rsidRPr="00010121">
          <w:rPr>
            <w:rFonts w:ascii="IRBadr" w:hAnsi="IRBadr" w:cs="IRBadr"/>
            <w:noProof/>
            <w:webHidden/>
          </w:rPr>
          <w:tab/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418EC" w:rsidRPr="00010121">
          <w:rPr>
            <w:rFonts w:ascii="IRBadr" w:hAnsi="IRBadr" w:cs="IRBadr"/>
            <w:noProof/>
            <w:webHidden/>
          </w:rPr>
          <w:instrText xml:space="preserve"> PAGEREF _Toc425844254 \h </w:instrText>
        </w:r>
        <w:r w:rsidR="007418EC" w:rsidRPr="00010121">
          <w:rPr>
            <w:rStyle w:val="Hyperlink"/>
            <w:rFonts w:ascii="IRBadr" w:hAnsi="IRBadr" w:cs="IRBadr"/>
            <w:noProof/>
            <w:rtl/>
          </w:rPr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418EC" w:rsidRPr="00010121">
          <w:rPr>
            <w:rFonts w:ascii="IRBadr" w:hAnsi="IRBadr" w:cs="IRBadr"/>
            <w:noProof/>
            <w:webHidden/>
          </w:rPr>
          <w:t>3</w:t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418EC" w:rsidRPr="00010121" w:rsidRDefault="004A35B9" w:rsidP="007418EC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255" w:history="1">
        <w:r w:rsidR="007418EC" w:rsidRPr="00010121">
          <w:rPr>
            <w:rStyle w:val="Hyperlink"/>
            <w:rFonts w:ascii="IRBadr" w:hAnsi="IRBadr" w:cs="IRBadr"/>
            <w:noProof/>
            <w:rtl/>
          </w:rPr>
          <w:t>مبانی اقوال</w:t>
        </w:r>
        <w:r w:rsidR="007418EC" w:rsidRPr="00010121">
          <w:rPr>
            <w:rFonts w:ascii="IRBadr" w:hAnsi="IRBadr" w:cs="IRBadr"/>
            <w:noProof/>
            <w:webHidden/>
          </w:rPr>
          <w:tab/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418EC" w:rsidRPr="00010121">
          <w:rPr>
            <w:rFonts w:ascii="IRBadr" w:hAnsi="IRBadr" w:cs="IRBadr"/>
            <w:noProof/>
            <w:webHidden/>
          </w:rPr>
          <w:instrText xml:space="preserve"> PAGEREF _Toc425844255 \h </w:instrText>
        </w:r>
        <w:r w:rsidR="007418EC" w:rsidRPr="00010121">
          <w:rPr>
            <w:rStyle w:val="Hyperlink"/>
            <w:rFonts w:ascii="IRBadr" w:hAnsi="IRBadr" w:cs="IRBadr"/>
            <w:noProof/>
            <w:rtl/>
          </w:rPr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418EC" w:rsidRPr="00010121">
          <w:rPr>
            <w:rFonts w:ascii="IRBadr" w:hAnsi="IRBadr" w:cs="IRBadr"/>
            <w:noProof/>
            <w:webHidden/>
          </w:rPr>
          <w:t>3</w:t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418EC" w:rsidRPr="00010121" w:rsidRDefault="004A35B9" w:rsidP="007418EC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256" w:history="1">
        <w:r w:rsidR="007418EC" w:rsidRPr="00010121">
          <w:rPr>
            <w:rStyle w:val="Hyperlink"/>
            <w:rFonts w:ascii="IRBadr" w:hAnsi="IRBadr" w:cs="IRBadr"/>
            <w:noProof/>
            <w:rtl/>
          </w:rPr>
          <w:t>روایت سوم</w:t>
        </w:r>
        <w:r w:rsidR="007418EC" w:rsidRPr="00010121">
          <w:rPr>
            <w:rFonts w:ascii="IRBadr" w:hAnsi="IRBadr" w:cs="IRBadr"/>
            <w:noProof/>
            <w:webHidden/>
          </w:rPr>
          <w:tab/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418EC" w:rsidRPr="00010121">
          <w:rPr>
            <w:rFonts w:ascii="IRBadr" w:hAnsi="IRBadr" w:cs="IRBadr"/>
            <w:noProof/>
            <w:webHidden/>
          </w:rPr>
          <w:instrText xml:space="preserve"> PAGEREF _Toc425844256 \h </w:instrText>
        </w:r>
        <w:r w:rsidR="007418EC" w:rsidRPr="00010121">
          <w:rPr>
            <w:rStyle w:val="Hyperlink"/>
            <w:rFonts w:ascii="IRBadr" w:hAnsi="IRBadr" w:cs="IRBadr"/>
            <w:noProof/>
            <w:rtl/>
          </w:rPr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418EC" w:rsidRPr="00010121">
          <w:rPr>
            <w:rFonts w:ascii="IRBadr" w:hAnsi="IRBadr" w:cs="IRBadr"/>
            <w:noProof/>
            <w:webHidden/>
          </w:rPr>
          <w:t>4</w:t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418EC" w:rsidRPr="00010121" w:rsidRDefault="004A35B9" w:rsidP="007418EC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257" w:history="1">
        <w:r w:rsidR="007418EC" w:rsidRPr="00010121">
          <w:rPr>
            <w:rStyle w:val="Hyperlink"/>
            <w:rFonts w:ascii="IRBadr" w:hAnsi="IRBadr" w:cs="IRBadr"/>
            <w:noProof/>
            <w:rtl/>
          </w:rPr>
          <w:t>روایت طایفه دوم</w:t>
        </w:r>
        <w:r w:rsidR="007418EC" w:rsidRPr="00010121">
          <w:rPr>
            <w:rFonts w:ascii="IRBadr" w:hAnsi="IRBadr" w:cs="IRBadr"/>
            <w:noProof/>
            <w:webHidden/>
          </w:rPr>
          <w:tab/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418EC" w:rsidRPr="00010121">
          <w:rPr>
            <w:rFonts w:ascii="IRBadr" w:hAnsi="IRBadr" w:cs="IRBadr"/>
            <w:noProof/>
            <w:webHidden/>
          </w:rPr>
          <w:instrText xml:space="preserve"> PAGEREF _Toc425844257 \h </w:instrText>
        </w:r>
        <w:r w:rsidR="007418EC" w:rsidRPr="00010121">
          <w:rPr>
            <w:rStyle w:val="Hyperlink"/>
            <w:rFonts w:ascii="IRBadr" w:hAnsi="IRBadr" w:cs="IRBadr"/>
            <w:noProof/>
            <w:rtl/>
          </w:rPr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418EC" w:rsidRPr="00010121">
          <w:rPr>
            <w:rFonts w:ascii="IRBadr" w:hAnsi="IRBadr" w:cs="IRBadr"/>
            <w:noProof/>
            <w:webHidden/>
          </w:rPr>
          <w:t>4</w:t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418EC" w:rsidRPr="00010121" w:rsidRDefault="004A35B9" w:rsidP="007418EC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258" w:history="1">
        <w:r w:rsidR="007418EC" w:rsidRPr="00010121">
          <w:rPr>
            <w:rStyle w:val="Hyperlink"/>
            <w:rFonts w:ascii="IRBadr" w:hAnsi="IRBadr" w:cs="IRBadr"/>
            <w:noProof/>
            <w:rtl/>
          </w:rPr>
          <w:t>معنای «یشله»</w:t>
        </w:r>
        <w:r w:rsidR="007418EC" w:rsidRPr="00010121">
          <w:rPr>
            <w:rFonts w:ascii="IRBadr" w:hAnsi="IRBadr" w:cs="IRBadr"/>
            <w:noProof/>
            <w:webHidden/>
          </w:rPr>
          <w:tab/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418EC" w:rsidRPr="00010121">
          <w:rPr>
            <w:rFonts w:ascii="IRBadr" w:hAnsi="IRBadr" w:cs="IRBadr"/>
            <w:noProof/>
            <w:webHidden/>
          </w:rPr>
          <w:instrText xml:space="preserve"> PAGEREF _Toc425844258 \h </w:instrText>
        </w:r>
        <w:r w:rsidR="007418EC" w:rsidRPr="00010121">
          <w:rPr>
            <w:rStyle w:val="Hyperlink"/>
            <w:rFonts w:ascii="IRBadr" w:hAnsi="IRBadr" w:cs="IRBadr"/>
            <w:noProof/>
            <w:rtl/>
          </w:rPr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418EC" w:rsidRPr="00010121">
          <w:rPr>
            <w:rFonts w:ascii="IRBadr" w:hAnsi="IRBadr" w:cs="IRBadr"/>
            <w:noProof/>
            <w:webHidden/>
          </w:rPr>
          <w:t>4</w:t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418EC" w:rsidRPr="00010121" w:rsidRDefault="004A35B9" w:rsidP="007418EC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259" w:history="1">
        <w:r w:rsidR="007418EC" w:rsidRPr="00010121">
          <w:rPr>
            <w:rStyle w:val="Hyperlink"/>
            <w:rFonts w:ascii="IRBadr" w:hAnsi="IRBadr" w:cs="IRBadr"/>
            <w:noProof/>
            <w:rtl/>
          </w:rPr>
          <w:t>بررسی سندی و دلالی روایت</w:t>
        </w:r>
        <w:r w:rsidR="007418EC" w:rsidRPr="00010121">
          <w:rPr>
            <w:rFonts w:ascii="IRBadr" w:hAnsi="IRBadr" w:cs="IRBadr"/>
            <w:noProof/>
            <w:webHidden/>
          </w:rPr>
          <w:tab/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418EC" w:rsidRPr="00010121">
          <w:rPr>
            <w:rFonts w:ascii="IRBadr" w:hAnsi="IRBadr" w:cs="IRBadr"/>
            <w:noProof/>
            <w:webHidden/>
          </w:rPr>
          <w:instrText xml:space="preserve"> PAGEREF _Toc425844259 \h </w:instrText>
        </w:r>
        <w:r w:rsidR="007418EC" w:rsidRPr="00010121">
          <w:rPr>
            <w:rStyle w:val="Hyperlink"/>
            <w:rFonts w:ascii="IRBadr" w:hAnsi="IRBadr" w:cs="IRBadr"/>
            <w:noProof/>
            <w:rtl/>
          </w:rPr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418EC" w:rsidRPr="00010121">
          <w:rPr>
            <w:rFonts w:ascii="IRBadr" w:hAnsi="IRBadr" w:cs="IRBadr"/>
            <w:noProof/>
            <w:webHidden/>
          </w:rPr>
          <w:t>5</w:t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418EC" w:rsidRPr="00010121" w:rsidRDefault="004A35B9" w:rsidP="007418EC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260" w:history="1">
        <w:r w:rsidR="007418EC" w:rsidRPr="00010121">
          <w:rPr>
            <w:rStyle w:val="Hyperlink"/>
            <w:rFonts w:ascii="IRBadr" w:hAnsi="IRBadr" w:cs="IRBadr"/>
            <w:noProof/>
            <w:rtl/>
          </w:rPr>
          <w:t>راه دوم توثیق</w:t>
        </w:r>
        <w:r w:rsidR="007418EC" w:rsidRPr="00010121">
          <w:rPr>
            <w:rFonts w:ascii="IRBadr" w:hAnsi="IRBadr" w:cs="IRBadr"/>
            <w:noProof/>
            <w:webHidden/>
          </w:rPr>
          <w:tab/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418EC" w:rsidRPr="00010121">
          <w:rPr>
            <w:rFonts w:ascii="IRBadr" w:hAnsi="IRBadr" w:cs="IRBadr"/>
            <w:noProof/>
            <w:webHidden/>
          </w:rPr>
          <w:instrText xml:space="preserve"> PAGEREF _Toc425844260 \h </w:instrText>
        </w:r>
        <w:r w:rsidR="007418EC" w:rsidRPr="00010121">
          <w:rPr>
            <w:rStyle w:val="Hyperlink"/>
            <w:rFonts w:ascii="IRBadr" w:hAnsi="IRBadr" w:cs="IRBadr"/>
            <w:noProof/>
            <w:rtl/>
          </w:rPr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418EC" w:rsidRPr="00010121">
          <w:rPr>
            <w:rFonts w:ascii="IRBadr" w:hAnsi="IRBadr" w:cs="IRBadr"/>
            <w:noProof/>
            <w:webHidden/>
          </w:rPr>
          <w:t>5</w:t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418EC" w:rsidRPr="00010121" w:rsidRDefault="004A35B9" w:rsidP="007418EC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261" w:history="1">
        <w:r w:rsidR="007418EC" w:rsidRPr="00010121">
          <w:rPr>
            <w:rStyle w:val="Hyperlink"/>
            <w:rFonts w:ascii="IRBadr" w:hAnsi="IRBadr" w:cs="IRBadr"/>
            <w:noProof/>
            <w:rtl/>
          </w:rPr>
          <w:t>راه سوم توثیق</w:t>
        </w:r>
        <w:r w:rsidR="007418EC" w:rsidRPr="00010121">
          <w:rPr>
            <w:rFonts w:ascii="IRBadr" w:hAnsi="IRBadr" w:cs="IRBadr"/>
            <w:noProof/>
            <w:webHidden/>
          </w:rPr>
          <w:tab/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418EC" w:rsidRPr="00010121">
          <w:rPr>
            <w:rFonts w:ascii="IRBadr" w:hAnsi="IRBadr" w:cs="IRBadr"/>
            <w:noProof/>
            <w:webHidden/>
          </w:rPr>
          <w:instrText xml:space="preserve"> PAGEREF _Toc425844261 \h </w:instrText>
        </w:r>
        <w:r w:rsidR="007418EC" w:rsidRPr="00010121">
          <w:rPr>
            <w:rStyle w:val="Hyperlink"/>
            <w:rFonts w:ascii="IRBadr" w:hAnsi="IRBadr" w:cs="IRBadr"/>
            <w:noProof/>
            <w:rtl/>
          </w:rPr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418EC" w:rsidRPr="00010121">
          <w:rPr>
            <w:rFonts w:ascii="IRBadr" w:hAnsi="IRBadr" w:cs="IRBadr"/>
            <w:noProof/>
            <w:webHidden/>
          </w:rPr>
          <w:t>5</w:t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418EC" w:rsidRPr="00010121" w:rsidRDefault="004A35B9" w:rsidP="007418EC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262" w:history="1">
        <w:r w:rsidR="007418EC" w:rsidRPr="00010121">
          <w:rPr>
            <w:rStyle w:val="Hyperlink"/>
            <w:rFonts w:ascii="IRBadr" w:hAnsi="IRBadr" w:cs="IRBadr"/>
            <w:noProof/>
            <w:rtl/>
          </w:rPr>
          <w:t>بررسی دلالی روایت</w:t>
        </w:r>
        <w:r w:rsidR="007418EC" w:rsidRPr="00010121">
          <w:rPr>
            <w:rFonts w:ascii="IRBadr" w:hAnsi="IRBadr" w:cs="IRBadr"/>
            <w:noProof/>
            <w:webHidden/>
          </w:rPr>
          <w:tab/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418EC" w:rsidRPr="00010121">
          <w:rPr>
            <w:rFonts w:ascii="IRBadr" w:hAnsi="IRBadr" w:cs="IRBadr"/>
            <w:noProof/>
            <w:webHidden/>
          </w:rPr>
          <w:instrText xml:space="preserve"> PAGEREF _Toc425844262 \h </w:instrText>
        </w:r>
        <w:r w:rsidR="007418EC" w:rsidRPr="00010121">
          <w:rPr>
            <w:rStyle w:val="Hyperlink"/>
            <w:rFonts w:ascii="IRBadr" w:hAnsi="IRBadr" w:cs="IRBadr"/>
            <w:noProof/>
            <w:rtl/>
          </w:rPr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418EC" w:rsidRPr="00010121">
          <w:rPr>
            <w:rFonts w:ascii="IRBadr" w:hAnsi="IRBadr" w:cs="IRBadr"/>
            <w:noProof/>
            <w:webHidden/>
          </w:rPr>
          <w:t>5</w:t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418EC" w:rsidRPr="00010121" w:rsidRDefault="004A35B9" w:rsidP="007418EC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263" w:history="1">
        <w:r w:rsidR="007418EC" w:rsidRPr="00010121">
          <w:rPr>
            <w:rStyle w:val="Hyperlink"/>
            <w:rFonts w:ascii="IRBadr" w:hAnsi="IRBadr" w:cs="IRBadr"/>
            <w:noProof/>
            <w:rtl/>
          </w:rPr>
          <w:t>معنای فرازی از روایت</w:t>
        </w:r>
        <w:r w:rsidR="007418EC" w:rsidRPr="00010121">
          <w:rPr>
            <w:rFonts w:ascii="IRBadr" w:hAnsi="IRBadr" w:cs="IRBadr"/>
            <w:noProof/>
            <w:webHidden/>
          </w:rPr>
          <w:tab/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418EC" w:rsidRPr="00010121">
          <w:rPr>
            <w:rFonts w:ascii="IRBadr" w:hAnsi="IRBadr" w:cs="IRBadr"/>
            <w:noProof/>
            <w:webHidden/>
          </w:rPr>
          <w:instrText xml:space="preserve"> PAGEREF _Toc425844263 \h </w:instrText>
        </w:r>
        <w:r w:rsidR="007418EC" w:rsidRPr="00010121">
          <w:rPr>
            <w:rStyle w:val="Hyperlink"/>
            <w:rFonts w:ascii="IRBadr" w:hAnsi="IRBadr" w:cs="IRBadr"/>
            <w:noProof/>
            <w:rtl/>
          </w:rPr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418EC" w:rsidRPr="00010121">
          <w:rPr>
            <w:rFonts w:ascii="IRBadr" w:hAnsi="IRBadr" w:cs="IRBadr"/>
            <w:noProof/>
            <w:webHidden/>
          </w:rPr>
          <w:t>5</w:t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418EC" w:rsidRPr="00010121" w:rsidRDefault="004A35B9" w:rsidP="007418EC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264" w:history="1">
        <w:r w:rsidR="007418EC" w:rsidRPr="00010121">
          <w:rPr>
            <w:rStyle w:val="Hyperlink"/>
            <w:rFonts w:ascii="IRBadr" w:hAnsi="IRBadr" w:cs="IRBadr"/>
            <w:noProof/>
            <w:rtl/>
          </w:rPr>
          <w:t>خدشه در استدلال فوق</w:t>
        </w:r>
        <w:r w:rsidR="007418EC" w:rsidRPr="00010121">
          <w:rPr>
            <w:rFonts w:ascii="IRBadr" w:hAnsi="IRBadr" w:cs="IRBadr"/>
            <w:noProof/>
            <w:webHidden/>
          </w:rPr>
          <w:tab/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418EC" w:rsidRPr="00010121">
          <w:rPr>
            <w:rFonts w:ascii="IRBadr" w:hAnsi="IRBadr" w:cs="IRBadr"/>
            <w:noProof/>
            <w:webHidden/>
          </w:rPr>
          <w:instrText xml:space="preserve"> PAGEREF _Toc425844264 \h </w:instrText>
        </w:r>
        <w:r w:rsidR="007418EC" w:rsidRPr="00010121">
          <w:rPr>
            <w:rStyle w:val="Hyperlink"/>
            <w:rFonts w:ascii="IRBadr" w:hAnsi="IRBadr" w:cs="IRBadr"/>
            <w:noProof/>
            <w:rtl/>
          </w:rPr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418EC" w:rsidRPr="00010121">
          <w:rPr>
            <w:rFonts w:ascii="IRBadr" w:hAnsi="IRBadr" w:cs="IRBadr"/>
            <w:noProof/>
            <w:webHidden/>
          </w:rPr>
          <w:t>6</w:t>
        </w:r>
        <w:r w:rsidR="007418EC" w:rsidRPr="0001012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97E00" w:rsidRPr="00010121" w:rsidRDefault="00E97E00" w:rsidP="00E97E0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0121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010121" w:rsidRPr="00010121" w:rsidRDefault="00010121">
      <w:pPr>
        <w:spacing w:after="0" w:line="240" w:lineRule="auto"/>
        <w:rPr>
          <w:rFonts w:ascii="IRBadr" w:eastAsia="2  Lotus" w:hAnsi="IRBadr" w:cs="IRBadr"/>
          <w:bCs/>
          <w:sz w:val="44"/>
          <w:szCs w:val="44"/>
          <w:rtl/>
          <w:lang w:bidi="fa-IR"/>
        </w:rPr>
      </w:pPr>
      <w:bookmarkStart w:id="0" w:name="_Toc425844252"/>
      <w:r w:rsidRPr="00010121">
        <w:rPr>
          <w:rFonts w:ascii="IRBadr" w:hAnsi="IRBadr" w:cs="IRBadr"/>
          <w:rtl/>
        </w:rPr>
        <w:br w:type="page"/>
      </w:r>
    </w:p>
    <w:p w:rsidR="00E37A90" w:rsidRPr="00010121" w:rsidRDefault="00E37A90" w:rsidP="007418EC">
      <w:pPr>
        <w:pStyle w:val="Heading1"/>
        <w:rPr>
          <w:rtl/>
        </w:rPr>
      </w:pPr>
      <w:r w:rsidRPr="00010121">
        <w:rPr>
          <w:rtl/>
        </w:rPr>
        <w:lastRenderedPageBreak/>
        <w:t>کیفیت حد</w:t>
      </w:r>
      <w:bookmarkEnd w:id="0"/>
    </w:p>
    <w:p w:rsidR="007257C4" w:rsidRPr="00010121" w:rsidRDefault="00E37A90" w:rsidP="00DC4EC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010121">
        <w:rPr>
          <w:rFonts w:ascii="IRBadr" w:hAnsi="IRBadr" w:cs="IRBadr"/>
          <w:sz w:val="28"/>
          <w:szCs w:val="28"/>
          <w:rtl/>
        </w:rPr>
        <w:t>آیا حد در حال ایستاده یا نشسته باید بر فرد جاری شود؟</w:t>
      </w:r>
      <w:r w:rsidR="00297558" w:rsidRPr="00010121">
        <w:rPr>
          <w:rFonts w:ascii="IRBadr" w:hAnsi="IRBadr" w:cs="IRBadr"/>
          <w:sz w:val="28"/>
          <w:szCs w:val="28"/>
          <w:rtl/>
        </w:rPr>
        <w:t xml:space="preserve"> اجماع</w:t>
      </w:r>
      <w:r w:rsidRPr="00010121">
        <w:rPr>
          <w:rFonts w:ascii="IRBadr" w:hAnsi="IRBadr" w:cs="IRBadr"/>
          <w:sz w:val="28"/>
          <w:szCs w:val="28"/>
          <w:rtl/>
        </w:rPr>
        <w:t xml:space="preserve"> وجود دارد که بر مرد در حال ایستاده و بر زن در حال نشسته حد جاری </w:t>
      </w:r>
      <w:r w:rsidR="00297558" w:rsidRPr="00010121">
        <w:rPr>
          <w:rFonts w:ascii="IRBadr" w:hAnsi="IRBadr" w:cs="IRBadr"/>
          <w:sz w:val="28"/>
          <w:szCs w:val="28"/>
          <w:rtl/>
        </w:rPr>
        <w:t>می‌شود</w:t>
      </w:r>
      <w:r w:rsidRPr="00010121">
        <w:rPr>
          <w:rFonts w:ascii="IRBadr" w:hAnsi="IRBadr" w:cs="IRBadr"/>
          <w:sz w:val="28"/>
          <w:szCs w:val="28"/>
          <w:rtl/>
        </w:rPr>
        <w:t>. دلیلش روایتی است در جلد هیجده از ابواب زنا،</w:t>
      </w:r>
      <w:r w:rsidR="00297558" w:rsidRPr="00010121">
        <w:rPr>
          <w:rFonts w:ascii="IRBadr" w:hAnsi="IRBadr" w:cs="IRBadr"/>
          <w:sz w:val="28"/>
          <w:szCs w:val="28"/>
          <w:rtl/>
        </w:rPr>
        <w:t xml:space="preserve"> باب</w:t>
      </w:r>
      <w:r w:rsidRPr="00010121">
        <w:rPr>
          <w:rFonts w:ascii="IRBadr" w:hAnsi="IRBadr" w:cs="IRBadr"/>
          <w:sz w:val="28"/>
          <w:szCs w:val="28"/>
          <w:rtl/>
        </w:rPr>
        <w:t xml:space="preserve"> یازدهم،</w:t>
      </w:r>
      <w:r w:rsidR="00297558" w:rsidRPr="00010121">
        <w:rPr>
          <w:rFonts w:ascii="IRBadr" w:hAnsi="IRBadr" w:cs="IRBadr"/>
          <w:sz w:val="28"/>
          <w:szCs w:val="28"/>
          <w:rtl/>
        </w:rPr>
        <w:t xml:space="preserve"> حدیث</w:t>
      </w:r>
      <w:r w:rsidR="007257C4" w:rsidRPr="00010121">
        <w:rPr>
          <w:rFonts w:ascii="IRBadr" w:hAnsi="IRBadr" w:cs="IRBadr"/>
          <w:sz w:val="28"/>
          <w:szCs w:val="28"/>
          <w:rtl/>
        </w:rPr>
        <w:t xml:space="preserve"> اول،</w:t>
      </w:r>
      <w:r w:rsidR="00297558" w:rsidRPr="00010121">
        <w:rPr>
          <w:rFonts w:ascii="IRBadr" w:hAnsi="IRBadr" w:cs="IRBadr"/>
          <w:sz w:val="28"/>
          <w:szCs w:val="28"/>
          <w:rtl/>
        </w:rPr>
        <w:t xml:space="preserve"> صفحه</w:t>
      </w:r>
      <w:r w:rsidR="007257C4" w:rsidRPr="00010121">
        <w:rPr>
          <w:rFonts w:ascii="IRBadr" w:hAnsi="IRBadr" w:cs="IRBadr"/>
          <w:sz w:val="28"/>
          <w:szCs w:val="28"/>
          <w:rtl/>
        </w:rPr>
        <w:t xml:space="preserve"> سیصد و </w:t>
      </w:r>
      <w:r w:rsidR="00010121">
        <w:rPr>
          <w:rFonts w:ascii="IRBadr" w:hAnsi="IRBadr" w:cs="IRBadr"/>
          <w:sz w:val="28"/>
          <w:szCs w:val="28"/>
          <w:rtl/>
        </w:rPr>
        <w:t>شصت‌ونه</w:t>
      </w:r>
      <w:r w:rsidR="007257C4" w:rsidRPr="00010121">
        <w:rPr>
          <w:rFonts w:ascii="IRBadr" w:hAnsi="IRBadr" w:cs="IRBadr"/>
          <w:sz w:val="28"/>
          <w:szCs w:val="28"/>
          <w:rtl/>
        </w:rPr>
        <w:t xml:space="preserve"> </w:t>
      </w:r>
      <w:r w:rsidRPr="00010121">
        <w:rPr>
          <w:rFonts w:ascii="IRBadr" w:hAnsi="IRBadr" w:cs="IRBadr"/>
          <w:sz w:val="28"/>
          <w:szCs w:val="28"/>
          <w:rtl/>
        </w:rPr>
        <w:t xml:space="preserve">که </w:t>
      </w:r>
      <w:r w:rsidR="00297558" w:rsidRPr="00010121">
        <w:rPr>
          <w:rFonts w:ascii="IRBadr" w:hAnsi="IRBadr" w:cs="IRBadr"/>
          <w:sz w:val="28"/>
          <w:szCs w:val="28"/>
          <w:rtl/>
        </w:rPr>
        <w:t>می‌فرماید</w:t>
      </w:r>
      <w:r w:rsidRPr="00010121">
        <w:rPr>
          <w:rFonts w:ascii="IRBadr" w:hAnsi="IRBadr" w:cs="IRBadr"/>
          <w:sz w:val="28"/>
          <w:szCs w:val="28"/>
          <w:rtl/>
        </w:rPr>
        <w:t>؛</w:t>
      </w:r>
    </w:p>
    <w:p w:rsidR="007257C4" w:rsidRPr="00010121" w:rsidRDefault="00E37A90" w:rsidP="00DC4EC1">
      <w:pPr>
        <w:pStyle w:val="NormalWeb"/>
        <w:bidi/>
        <w:jc w:val="both"/>
        <w:rPr>
          <w:rFonts w:ascii="IRBadr" w:hAnsi="IRBadr" w:cs="IRBadr"/>
          <w:b/>
          <w:bCs/>
          <w:color w:val="000000"/>
          <w:sz w:val="2"/>
          <w:szCs w:val="2"/>
          <w:rtl/>
        </w:rPr>
      </w:pPr>
      <w:r w:rsidRPr="0001012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257C4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«رَوَ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7257C4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أَبَانٌ عَنْ زُرَارَةَ عَنْ أَبِ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7257C4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جَعْفَرٍ ع قَالَ 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7257C4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ضْرَبُ الرَّجُلُ الْحَدَّ قَائِماً وَ الْمَرْأَةُ قَاعِدَةً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="007257C4" w:rsidRPr="00010121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E37A90" w:rsidRPr="00010121" w:rsidRDefault="00E37A90" w:rsidP="00DC4E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در مورد علی بن حکم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بحث‌های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زیادی در رجال وجود دارد،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لکن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در سند مرحوم صدوق،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علی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بن حکم وجود ندارد.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اشکال موجود در سند آن،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خاطر وجود این سند،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مورد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خدشه قرار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نمی‌گیرد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37A90" w:rsidRPr="00010121" w:rsidRDefault="00E37A90" w:rsidP="007418EC">
      <w:pPr>
        <w:pStyle w:val="Heading2"/>
        <w:rPr>
          <w:rFonts w:ascii="IRBadr" w:hAnsi="IRBadr" w:cs="IRBadr"/>
          <w:rtl/>
        </w:rPr>
      </w:pPr>
      <w:bookmarkStart w:id="1" w:name="_Toc425844253"/>
      <w:r w:rsidRPr="00010121">
        <w:rPr>
          <w:rFonts w:ascii="IRBadr" w:hAnsi="IRBadr" w:cs="IRBadr"/>
          <w:rtl/>
        </w:rPr>
        <w:t>لزوم برهنگی در هنگام اجرای حد</w:t>
      </w:r>
      <w:bookmarkEnd w:id="1"/>
    </w:p>
    <w:p w:rsidR="00E37A90" w:rsidRPr="00010121" w:rsidRDefault="00E37A90" w:rsidP="00DC4E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آیا هنگام حد باید فرد برهنه گردد یا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بر روی لباس حد را بر او جاری ساخت؟</w:t>
      </w:r>
    </w:p>
    <w:p w:rsidR="007257C4" w:rsidRPr="00010121" w:rsidRDefault="00E37A90" w:rsidP="00DC4EC1">
      <w:pPr>
        <w:pStyle w:val="NormalWeb"/>
        <w:bidi/>
        <w:jc w:val="both"/>
        <w:rPr>
          <w:rFonts w:ascii="IRBadr" w:hAnsi="IRBadr" w:cs="IRBadr"/>
          <w:color w:val="000000"/>
          <w:sz w:val="2"/>
          <w:szCs w:val="2"/>
        </w:rPr>
      </w:pPr>
      <w:r w:rsidRPr="00010121">
        <w:rPr>
          <w:rFonts w:ascii="IRBadr" w:hAnsi="IRBadr" w:cs="IRBadr"/>
          <w:sz w:val="28"/>
          <w:szCs w:val="28"/>
          <w:rtl/>
        </w:rPr>
        <w:t xml:space="preserve">این امر مورد اتفاق است که اجرای حد بر روی لباسی که موجب </w:t>
      </w:r>
      <w:r w:rsidR="00297558" w:rsidRPr="00010121">
        <w:rPr>
          <w:rFonts w:ascii="IRBadr" w:hAnsi="IRBadr" w:cs="IRBadr"/>
          <w:sz w:val="28"/>
          <w:szCs w:val="28"/>
          <w:rtl/>
        </w:rPr>
        <w:t>می‌شود</w:t>
      </w:r>
      <w:r w:rsidRPr="00010121">
        <w:rPr>
          <w:rFonts w:ascii="IRBadr" w:hAnsi="IRBadr" w:cs="IRBadr"/>
          <w:sz w:val="28"/>
          <w:szCs w:val="28"/>
          <w:rtl/>
        </w:rPr>
        <w:t xml:space="preserve"> فرد دردی را احساس نکند،</w:t>
      </w:r>
      <w:r w:rsidR="00297558" w:rsidRPr="00010121">
        <w:rPr>
          <w:rFonts w:ascii="IRBadr" w:hAnsi="IRBadr" w:cs="IRBadr"/>
          <w:sz w:val="28"/>
          <w:szCs w:val="28"/>
          <w:rtl/>
        </w:rPr>
        <w:t xml:space="preserve"> </w:t>
      </w:r>
      <w:r w:rsidR="00010121">
        <w:rPr>
          <w:rFonts w:ascii="IRBadr" w:hAnsi="IRBadr" w:cs="IRBadr"/>
          <w:sz w:val="28"/>
          <w:szCs w:val="28"/>
          <w:rtl/>
        </w:rPr>
        <w:t>جایز</w:t>
      </w:r>
      <w:r w:rsidRPr="00010121">
        <w:rPr>
          <w:rFonts w:ascii="IRBadr" w:hAnsi="IRBadr" w:cs="IRBadr"/>
          <w:sz w:val="28"/>
          <w:szCs w:val="28"/>
          <w:rtl/>
        </w:rPr>
        <w:t xml:space="preserve"> نیست. </w:t>
      </w:r>
      <w:r w:rsidR="00753623" w:rsidRPr="00010121">
        <w:rPr>
          <w:rFonts w:ascii="IRBadr" w:hAnsi="IRBadr" w:cs="IRBadr"/>
          <w:sz w:val="28"/>
          <w:szCs w:val="28"/>
          <w:rtl/>
        </w:rPr>
        <w:t xml:space="preserve">از روایات نیز </w:t>
      </w:r>
      <w:r w:rsidR="00297558" w:rsidRPr="00010121">
        <w:rPr>
          <w:rFonts w:ascii="IRBadr" w:hAnsi="IRBadr" w:cs="IRBadr"/>
          <w:sz w:val="28"/>
          <w:szCs w:val="28"/>
          <w:rtl/>
        </w:rPr>
        <w:t>می‌شود</w:t>
      </w:r>
      <w:r w:rsidR="00753623" w:rsidRPr="00010121">
        <w:rPr>
          <w:rFonts w:ascii="IRBadr" w:hAnsi="IRBadr" w:cs="IRBadr"/>
          <w:sz w:val="28"/>
          <w:szCs w:val="28"/>
          <w:rtl/>
        </w:rPr>
        <w:t xml:space="preserve"> این را استفاده کرد،</w:t>
      </w:r>
      <w:r w:rsidR="00297558" w:rsidRPr="00010121">
        <w:rPr>
          <w:rFonts w:ascii="IRBadr" w:hAnsi="IRBadr" w:cs="IRBadr"/>
          <w:sz w:val="28"/>
          <w:szCs w:val="28"/>
          <w:rtl/>
        </w:rPr>
        <w:t xml:space="preserve"> در</w:t>
      </w:r>
      <w:r w:rsidR="00753623" w:rsidRPr="00010121">
        <w:rPr>
          <w:rFonts w:ascii="IRBadr" w:hAnsi="IRBadr" w:cs="IRBadr"/>
          <w:sz w:val="28"/>
          <w:szCs w:val="28"/>
          <w:rtl/>
        </w:rPr>
        <w:t xml:space="preserve"> باب یازده،</w:t>
      </w:r>
      <w:r w:rsidR="00297558" w:rsidRPr="00010121">
        <w:rPr>
          <w:rFonts w:ascii="IRBadr" w:hAnsi="IRBadr" w:cs="IRBadr"/>
          <w:sz w:val="28"/>
          <w:szCs w:val="28"/>
          <w:rtl/>
        </w:rPr>
        <w:t xml:space="preserve"> روایت</w:t>
      </w:r>
      <w:r w:rsidR="00753623" w:rsidRPr="00010121">
        <w:rPr>
          <w:rFonts w:ascii="IRBadr" w:hAnsi="IRBadr" w:cs="IRBadr"/>
          <w:sz w:val="28"/>
          <w:szCs w:val="28"/>
          <w:rtl/>
        </w:rPr>
        <w:t xml:space="preserve"> چهارم که معتبره است،</w:t>
      </w:r>
      <w:r w:rsidR="00297558" w:rsidRPr="00010121">
        <w:rPr>
          <w:rFonts w:ascii="IRBadr" w:hAnsi="IRBadr" w:cs="IRBadr"/>
          <w:sz w:val="28"/>
          <w:szCs w:val="28"/>
          <w:rtl/>
        </w:rPr>
        <w:t xml:space="preserve"> </w:t>
      </w:r>
      <w:r w:rsidR="00010121">
        <w:rPr>
          <w:rFonts w:ascii="IRBadr" w:hAnsi="IRBadr" w:cs="IRBadr"/>
          <w:sz w:val="28"/>
          <w:szCs w:val="28"/>
          <w:rtl/>
        </w:rPr>
        <w:t>این‌گونه</w:t>
      </w:r>
      <w:r w:rsidR="00753623" w:rsidRPr="00010121">
        <w:rPr>
          <w:rFonts w:ascii="IRBadr" w:hAnsi="IRBadr" w:cs="IRBadr"/>
          <w:sz w:val="28"/>
          <w:szCs w:val="28"/>
          <w:rtl/>
        </w:rPr>
        <w:t xml:space="preserve"> بیان شده؛</w:t>
      </w:r>
    </w:p>
    <w:p w:rsidR="00753623" w:rsidRPr="00010121" w:rsidRDefault="0076136C" w:rsidP="00DC4E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0121">
        <w:rPr>
          <w:rFonts w:ascii="IRBadr" w:hAnsi="IRBadr" w:cs="IRBadr"/>
          <w:sz w:val="28"/>
          <w:szCs w:val="28"/>
          <w:rtl/>
          <w:lang w:bidi="fa-IR"/>
        </w:rPr>
        <w:t>حد زانی از همه حدود شدیدتر است.</w:t>
      </w:r>
    </w:p>
    <w:p w:rsidR="00753623" w:rsidRPr="00010121" w:rsidRDefault="00753623" w:rsidP="00DC4E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0121">
        <w:rPr>
          <w:rFonts w:ascii="IRBadr" w:hAnsi="IRBadr" w:cs="IRBadr"/>
          <w:sz w:val="28"/>
          <w:szCs w:val="28"/>
          <w:rtl/>
          <w:lang w:bidi="fa-IR"/>
        </w:rPr>
        <w:t>در روایت دیگری از امام رضا (ع) است که برای محمد بن سنان نوشتند؛</w:t>
      </w:r>
    </w:p>
    <w:p w:rsidR="00634320" w:rsidRPr="00010121" w:rsidRDefault="00634320" w:rsidP="00DC4EC1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«حَدَّثَنَا عَلِ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بْنُ أَحْمَدَ رَحِمَهُ اللَّهُ قَالَ حَدَّثَنَا مُحَمَّدُ بْنُ أَبِ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عَنْ مُحَمَّدِ بْنِ إِسْمَاعِ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لَ عَنْ عَلِ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بْنِ الْعَبَّاسِ قَالَ حَدَّثَنَا الْقَاسِمُ بْنُ الرَّبِ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عِ الصَّحَّافُ عَنْ مُحَمَّدِ بْنِ سِنَانٍ أَنَّ أَبَا الْحَسَنِ الرِّضَا ع 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تَبَ إِلَ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فِ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مَا 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تَبَ مِنْ جَوَابِ مَسَائِلِهِ عِلَّةُ ضَرْبِ الزَّانِ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عَلَ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جَسَدِهِ بِأَشَدِّ الضَّرْبِ لِمُبَاشَرَةِ الزِّنَا وَ اسْتِلْذَاذِ الْجَسَدِ 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لِّهِ بِهِ فَجُعِلَ الضَّرْبُ عُقُوبَةً لَهُ وَ عِبْرَةً لِغَ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رِهِ وَ هُوَ أَعْظَمُ 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الْجِنَایاتِ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» </w:t>
      </w:r>
      <w:r w:rsidRPr="00010121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753623" w:rsidRPr="00010121" w:rsidRDefault="00010121" w:rsidP="00DC4E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lastRenderedPageBreak/>
        <w:t>بنابراین</w:t>
      </w:r>
      <w:r w:rsidR="00753623" w:rsidRPr="00010121">
        <w:rPr>
          <w:rFonts w:ascii="IRBadr" w:hAnsi="IRBadr" w:cs="IRBadr"/>
          <w:sz w:val="28"/>
          <w:szCs w:val="28"/>
          <w:rtl/>
          <w:lang w:bidi="fa-IR"/>
        </w:rPr>
        <w:t>،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پوشاندن</w:t>
      </w:r>
      <w:r w:rsidR="00753623" w:rsidRPr="00010121">
        <w:rPr>
          <w:rFonts w:ascii="IRBadr" w:hAnsi="IRBadr" w:cs="IRBadr"/>
          <w:sz w:val="28"/>
          <w:szCs w:val="28"/>
          <w:rtl/>
          <w:lang w:bidi="fa-IR"/>
        </w:rPr>
        <w:t xml:space="preserve"> لباس یا تزریق دارویی که موجب </w:t>
      </w:r>
      <w:r>
        <w:rPr>
          <w:rFonts w:ascii="IRBadr" w:hAnsi="IRBadr" w:cs="IRBadr"/>
          <w:sz w:val="28"/>
          <w:szCs w:val="28"/>
          <w:rtl/>
          <w:lang w:bidi="fa-IR"/>
        </w:rPr>
        <w:t>بی‌حسی</w:t>
      </w:r>
      <w:r w:rsidR="00753623" w:rsidRPr="00010121">
        <w:rPr>
          <w:rFonts w:ascii="IRBadr" w:hAnsi="IRBadr" w:cs="IRBadr"/>
          <w:sz w:val="28"/>
          <w:szCs w:val="28"/>
          <w:rtl/>
          <w:lang w:bidi="fa-IR"/>
        </w:rPr>
        <w:t xml:space="preserve"> و کاهش درد فرد شود،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جایز</w:t>
      </w:r>
      <w:r w:rsidR="00753623" w:rsidRPr="00010121">
        <w:rPr>
          <w:rFonts w:ascii="IRBadr" w:hAnsi="IRBadr" w:cs="IRBadr"/>
          <w:sz w:val="28"/>
          <w:szCs w:val="28"/>
          <w:rtl/>
          <w:lang w:bidi="fa-IR"/>
        </w:rPr>
        <w:t xml:space="preserve"> نیست. البته این امر در زمینه قطع ید به نحو دیگری است.</w:t>
      </w:r>
    </w:p>
    <w:p w:rsidR="00753623" w:rsidRPr="00010121" w:rsidRDefault="00753623" w:rsidP="007418EC">
      <w:pPr>
        <w:pStyle w:val="Heading2"/>
        <w:rPr>
          <w:rFonts w:ascii="IRBadr" w:hAnsi="IRBadr" w:cs="IRBadr"/>
          <w:rtl/>
        </w:rPr>
      </w:pPr>
      <w:bookmarkStart w:id="3" w:name="_Toc425844254"/>
      <w:r w:rsidRPr="00010121">
        <w:rPr>
          <w:rFonts w:ascii="IRBadr" w:hAnsi="IRBadr" w:cs="IRBadr"/>
          <w:rtl/>
        </w:rPr>
        <w:t>اقوال در پوشش مرد هنگام حد</w:t>
      </w:r>
      <w:bookmarkEnd w:id="3"/>
    </w:p>
    <w:p w:rsidR="00753623" w:rsidRPr="00010121" w:rsidRDefault="00753623" w:rsidP="00DC4E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در اینجا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تقریباً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حکم در مورد زن و مرد متفاوت است،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هرگز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زن را برهنه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نمی‌کنند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>،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در مورد مرد محل بحث است. در این زمینه چند قول وجود دارد؛</w:t>
      </w:r>
    </w:p>
    <w:p w:rsidR="00753623" w:rsidRPr="00010121" w:rsidRDefault="00753623" w:rsidP="00DC4E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برخی آن را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مطلقاً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تجویز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010121">
        <w:rPr>
          <w:rFonts w:ascii="IRBadr" w:hAnsi="IRBadr" w:cs="IRBadr"/>
          <w:sz w:val="28"/>
          <w:szCs w:val="28"/>
          <w:rtl/>
          <w:lang w:bidi="fa-IR"/>
        </w:rPr>
        <w:t>به‌طورکلی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باید او را برهنه کنند.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جمعی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از متأخرین به این امر قائل شدند.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مقابل این، قول دومی وجود دارد که قائل به تفصیل است بدین نحو که اگر او را به صورت عریان دستگیر کردند،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نحو عریان و اگر پوشیده پیدا کردند، باید با پوشش بر او حد جاری کنند.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832AFA" w:rsidRPr="00010121">
        <w:rPr>
          <w:rFonts w:ascii="IRBadr" w:hAnsi="IRBadr" w:cs="IRBadr"/>
          <w:sz w:val="28"/>
          <w:szCs w:val="28"/>
          <w:rtl/>
          <w:lang w:bidi="fa-IR"/>
        </w:rPr>
        <w:t xml:space="preserve"> این احتمال وجود دارد که اگر او را در حال زنا به صورت عریان یافتند این تفصیل جاری گردد.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کلمات</w:t>
      </w:r>
      <w:r w:rsidR="00832AFA" w:rsidRPr="00010121">
        <w:rPr>
          <w:rFonts w:ascii="IRBadr" w:hAnsi="IRBadr" w:cs="IRBadr"/>
          <w:sz w:val="28"/>
          <w:szCs w:val="28"/>
          <w:rtl/>
          <w:lang w:bidi="fa-IR"/>
        </w:rPr>
        <w:t xml:space="preserve"> در اینجا مضطرب است و آن را به مشهور </w:t>
      </w:r>
      <w:r w:rsidR="00010121">
        <w:rPr>
          <w:rFonts w:ascii="IRBadr" w:hAnsi="IRBadr" w:cs="IRBadr"/>
          <w:sz w:val="28"/>
          <w:szCs w:val="28"/>
          <w:rtl/>
          <w:lang w:bidi="fa-IR"/>
        </w:rPr>
        <w:t>قدما</w:t>
      </w:r>
      <w:r w:rsidR="00832AFA" w:rsidRPr="00010121">
        <w:rPr>
          <w:rFonts w:ascii="IRBadr" w:hAnsi="IRBadr" w:cs="IRBadr"/>
          <w:sz w:val="28"/>
          <w:szCs w:val="28"/>
          <w:rtl/>
          <w:lang w:bidi="fa-IR"/>
        </w:rPr>
        <w:t xml:space="preserve"> نسبت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داده‌اند</w:t>
      </w:r>
      <w:r w:rsidR="00832AFA" w:rsidRPr="00010121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753623" w:rsidRPr="00010121" w:rsidRDefault="00832AFA" w:rsidP="00DC4E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قول سوم در این زمینه، این است که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مطلقاً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در حال پوشیدگی بر او حد جاری نمود. البته این قول به صورت نادری </w:t>
      </w:r>
      <w:r w:rsidR="00010121">
        <w:rPr>
          <w:rFonts w:ascii="IRBadr" w:hAnsi="IRBadr" w:cs="IRBadr"/>
          <w:sz w:val="28"/>
          <w:szCs w:val="28"/>
          <w:rtl/>
          <w:lang w:bidi="fa-IR"/>
        </w:rPr>
        <w:t>مطرح‌شده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="00010121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این قول قائل به تخییر است.</w:t>
      </w:r>
    </w:p>
    <w:p w:rsidR="00753623" w:rsidRPr="00010121" w:rsidRDefault="00832AFA" w:rsidP="007418EC">
      <w:pPr>
        <w:pStyle w:val="Heading3"/>
        <w:rPr>
          <w:rFonts w:ascii="IRBadr" w:hAnsi="IRBadr" w:cs="IRBadr"/>
          <w:rtl/>
        </w:rPr>
      </w:pPr>
      <w:bookmarkStart w:id="4" w:name="_Toc425844255"/>
      <w:r w:rsidRPr="00010121">
        <w:rPr>
          <w:rFonts w:ascii="IRBadr" w:hAnsi="IRBadr" w:cs="IRBadr"/>
          <w:rtl/>
        </w:rPr>
        <w:t>مبانی اقوال</w:t>
      </w:r>
      <w:bookmarkEnd w:id="4"/>
    </w:p>
    <w:p w:rsidR="00753623" w:rsidRPr="00010121" w:rsidRDefault="00832AFA" w:rsidP="00DC4E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0121">
        <w:rPr>
          <w:rFonts w:ascii="IRBadr" w:hAnsi="IRBadr" w:cs="IRBadr"/>
          <w:sz w:val="28"/>
          <w:szCs w:val="28"/>
          <w:rtl/>
          <w:lang w:bidi="fa-IR"/>
        </w:rPr>
        <w:t>روایات در این مقام دو طایفه است،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برای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طایفه اول دو طایفه روایت وجود دارد،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جلد هیجده،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ابواب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زنا،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باب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یازدهم،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حدیث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دو و سه.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آقای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تبریزی و حضرت امام قول به تفصیل و آقای فاضل و گلپایگانی قائل به قول مشهور هستند.</w:t>
      </w:r>
    </w:p>
    <w:p w:rsidR="00832AFA" w:rsidRPr="00010121" w:rsidRDefault="00832AFA" w:rsidP="00DC4E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0121">
        <w:rPr>
          <w:rFonts w:ascii="IRBadr" w:hAnsi="IRBadr" w:cs="IRBadr"/>
          <w:sz w:val="28"/>
          <w:szCs w:val="28"/>
          <w:rtl/>
          <w:lang w:bidi="fa-IR"/>
        </w:rPr>
        <w:t>روایت این است که؛</w:t>
      </w:r>
    </w:p>
    <w:p w:rsidR="00634320" w:rsidRPr="00010121" w:rsidRDefault="00634320" w:rsidP="00DC4EC1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«عَلِ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بْنُ إِبْرَاهِ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مُحَمَّدِ بْنِ عِ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بْنِ عُبَ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دٍ عَنْ 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ونُسَ عَنْ إِسْحَاقَ بْنِ عَمَّارٍ قَالَ: سَأَلْتُ أَبَا إِبْرَاهِ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 عَنِ الزَّانِ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فَ 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جْلَدُ قَالَ أَشَدَّ الْجَلْدِ قُلْتُ فَمِنْ فَوْقِ ثِ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ابِهِ قَالَ بَلْ 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خْلَعُ ثِ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ابُهُ قُلْتُ فَالْمُفْتَرِ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قَالَ 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ضْرَبُ بَ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الضَّرْبَ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نِ 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ضْرَبُ جَسَدُهُ 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لُّهُ فَوْقَ ثِ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ابِهِ.»</w:t>
      </w:r>
      <w:r w:rsidRPr="00010121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3"/>
      </w:r>
    </w:p>
    <w:p w:rsidR="00832AFA" w:rsidRPr="00010121" w:rsidRDefault="007750D7" w:rsidP="00DC4E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0121">
        <w:rPr>
          <w:rFonts w:ascii="IRBadr" w:hAnsi="IRBadr" w:cs="IRBadr"/>
          <w:sz w:val="28"/>
          <w:szCs w:val="28"/>
          <w:rtl/>
          <w:lang w:bidi="fa-IR"/>
        </w:rPr>
        <w:t>در این روایت سؤا</w:t>
      </w:r>
      <w:r w:rsidR="00832AFA" w:rsidRPr="00010121">
        <w:rPr>
          <w:rFonts w:ascii="IRBadr" w:hAnsi="IRBadr" w:cs="IRBadr"/>
          <w:sz w:val="28"/>
          <w:szCs w:val="28"/>
          <w:rtl/>
          <w:lang w:bidi="fa-IR"/>
        </w:rPr>
        <w:t xml:space="preserve">ل شده است که آیا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832AFA" w:rsidRPr="00010121">
        <w:rPr>
          <w:rFonts w:ascii="IRBadr" w:hAnsi="IRBadr" w:cs="IRBadr"/>
          <w:sz w:val="28"/>
          <w:szCs w:val="28"/>
          <w:rtl/>
          <w:lang w:bidi="fa-IR"/>
        </w:rPr>
        <w:t xml:space="preserve"> بر روی لباس حد را جاری ساخت؟ حضرت فرمودند: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832AFA" w:rsidRPr="00010121">
        <w:rPr>
          <w:rFonts w:ascii="IRBadr" w:hAnsi="IRBadr" w:cs="IRBadr"/>
          <w:sz w:val="28"/>
          <w:szCs w:val="28"/>
          <w:rtl/>
          <w:lang w:bidi="fa-IR"/>
        </w:rPr>
        <w:t xml:space="preserve"> روی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لباس‌های</w:t>
      </w:r>
      <w:r w:rsidR="00832AFA" w:rsidRPr="00010121">
        <w:rPr>
          <w:rFonts w:ascii="IRBadr" w:hAnsi="IRBadr" w:cs="IRBadr"/>
          <w:sz w:val="28"/>
          <w:szCs w:val="28"/>
          <w:rtl/>
          <w:lang w:bidi="fa-IR"/>
        </w:rPr>
        <w:t xml:space="preserve"> مرسوم مانعی ندارد.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سند</w:t>
      </w:r>
      <w:r w:rsidR="00832AFA" w:rsidRPr="00010121">
        <w:rPr>
          <w:rFonts w:ascii="IRBadr" w:hAnsi="IRBadr" w:cs="IRBadr"/>
          <w:sz w:val="28"/>
          <w:szCs w:val="28"/>
          <w:rtl/>
          <w:lang w:bidi="fa-IR"/>
        </w:rPr>
        <w:t xml:space="preserve"> این روایت </w:t>
      </w:r>
      <w:r w:rsidR="00010121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="00832AFA" w:rsidRPr="00010121">
        <w:rPr>
          <w:rFonts w:ascii="IRBadr" w:hAnsi="IRBadr" w:cs="IRBadr"/>
          <w:sz w:val="28"/>
          <w:szCs w:val="28"/>
          <w:rtl/>
          <w:lang w:bidi="fa-IR"/>
        </w:rPr>
        <w:t xml:space="preserve"> مبنایی صحیح بوده و 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طبق </w:t>
      </w:r>
      <w:r w:rsidR="00010121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ما ذکر کردیم چندان از درجه اعتباری برخوردار نیست.</w:t>
      </w:r>
    </w:p>
    <w:p w:rsidR="007750D7" w:rsidRPr="00010121" w:rsidRDefault="007750D7" w:rsidP="00DC4E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0121">
        <w:rPr>
          <w:rFonts w:ascii="IRBadr" w:hAnsi="IRBadr" w:cs="IRBadr"/>
          <w:sz w:val="28"/>
          <w:szCs w:val="28"/>
          <w:rtl/>
          <w:lang w:bidi="fa-IR"/>
        </w:rPr>
        <w:lastRenderedPageBreak/>
        <w:t>روایت دیگر در این باب،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حدیث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سوم است که؛</w:t>
      </w:r>
    </w:p>
    <w:p w:rsidR="007750D7" w:rsidRPr="00010121" w:rsidRDefault="007750D7" w:rsidP="00DC4E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0121">
        <w:rPr>
          <w:rFonts w:ascii="IRBadr" w:hAnsi="IRBadr" w:cs="IRBadr"/>
          <w:sz w:val="28"/>
          <w:szCs w:val="28"/>
          <w:rtl/>
          <w:lang w:bidi="fa-IR"/>
        </w:rPr>
        <w:t>«</w:t>
      </w:r>
      <w:r w:rsidR="0076136C" w:rsidRPr="00010121">
        <w:rPr>
          <w:rFonts w:ascii="IRBadr" w:hAnsi="IRBadr" w:cs="IRBadr"/>
          <w:sz w:val="28"/>
          <w:szCs w:val="28"/>
          <w:rtl/>
          <w:lang w:bidi="fa-IR"/>
        </w:rPr>
        <w:t xml:space="preserve">عن ابی علی اشعری عن محمد بن عبد الجبار عن صفوان بن یحیی عن اسحاق بن عمار قال سئلت ابا ابراهیم </w:t>
      </w:r>
      <w:r w:rsidR="00010121">
        <w:rPr>
          <w:rFonts w:ascii="IRBadr" w:hAnsi="IRBadr" w:cs="IRBadr"/>
          <w:sz w:val="28"/>
          <w:szCs w:val="28"/>
          <w:rtl/>
          <w:lang w:bidi="fa-IR"/>
        </w:rPr>
        <w:t>علیه‌السلام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>»</w:t>
      </w:r>
      <w:r w:rsidR="0076136C" w:rsidRPr="00010121">
        <w:rPr>
          <w:rFonts w:ascii="IRBadr" w:hAnsi="IRBadr" w:cs="IRBadr"/>
          <w:sz w:val="28"/>
          <w:szCs w:val="28"/>
          <w:rtl/>
          <w:lang w:bidi="fa-IR"/>
        </w:rPr>
        <w:t>.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سند این روایت معتبر است و</w:t>
      </w:r>
      <w:r w:rsidR="0076136C" w:rsidRPr="0001012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ظاهراً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این روایت به روایت سابق یکی است و اختلاف موجود در الفاظ نیز </w:t>
      </w:r>
      <w:r w:rsidR="00010121">
        <w:rPr>
          <w:rFonts w:ascii="IRBadr" w:hAnsi="IRBadr" w:cs="IRBadr"/>
          <w:sz w:val="28"/>
          <w:szCs w:val="28"/>
          <w:rtl/>
          <w:lang w:bidi="fa-IR"/>
        </w:rPr>
        <w:t>با جواز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نقل به معنا برطرف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7750D7" w:rsidRPr="00010121" w:rsidRDefault="007750D7" w:rsidP="007418EC">
      <w:pPr>
        <w:pStyle w:val="Heading3"/>
        <w:rPr>
          <w:rFonts w:ascii="IRBadr" w:hAnsi="IRBadr" w:cs="IRBadr"/>
          <w:rtl/>
        </w:rPr>
      </w:pPr>
      <w:bookmarkStart w:id="5" w:name="_Toc425844256"/>
      <w:r w:rsidRPr="00010121">
        <w:rPr>
          <w:rFonts w:ascii="IRBadr" w:hAnsi="IRBadr" w:cs="IRBadr"/>
          <w:rtl/>
        </w:rPr>
        <w:t>روایت سوم</w:t>
      </w:r>
      <w:bookmarkEnd w:id="5"/>
    </w:p>
    <w:p w:rsidR="00634320" w:rsidRPr="00010121" w:rsidRDefault="007750D7" w:rsidP="00DC4EC1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روایت سوم </w:t>
      </w:r>
      <w:r w:rsidR="00010121">
        <w:rPr>
          <w:rFonts w:ascii="IRBadr" w:hAnsi="IRBadr" w:cs="IRBadr"/>
          <w:sz w:val="28"/>
          <w:szCs w:val="28"/>
          <w:rtl/>
          <w:lang w:bidi="fa-IR"/>
        </w:rPr>
        <w:t>در این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باب </w:t>
      </w:r>
      <w:r w:rsidR="00010121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است که؛</w:t>
      </w:r>
    </w:p>
    <w:p w:rsidR="00634320" w:rsidRPr="00010121" w:rsidRDefault="00634320" w:rsidP="00DC4EC1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«أَبُو عَلِ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الْأَشْعَرِ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مُحَمَّدِ بْنِ عَبْدِ الْجَبَّارِ عَنْ صَفْوَانَ بْنِ 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حْ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إِسْحَاقَ بْنِ عَمَّارٍ قَالَ: سَأَلْتُ أَبَا إِبْرَاهِ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ع- عَنِ الزَّانِ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فَ 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جْلَدُ قَالَ أَشَدَّ الْجَلْدِ فَقُلْتُ فَوْقَ الثِّ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ابِ فَقَالَ بَلْ 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جَرَّدُ.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010121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4"/>
      </w:r>
    </w:p>
    <w:p w:rsidR="007750D7" w:rsidRPr="00010121" w:rsidRDefault="007750D7" w:rsidP="00DC4E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در روایت قبل تعبیر به تخلع ثیابه ولی در اینجا تعبیر به یجرد وارد شده است که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ظاهراً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هر دو یک روایت هستند.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دلالت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در اینجا ظاهر است و </w:t>
      </w:r>
      <w:r w:rsidR="00010121">
        <w:rPr>
          <w:rFonts w:ascii="IRBadr" w:hAnsi="IRBadr" w:cs="IRBadr"/>
          <w:sz w:val="28"/>
          <w:szCs w:val="28"/>
          <w:rtl/>
          <w:lang w:bidi="fa-IR"/>
        </w:rPr>
        <w:t>ظاهرش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الزام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می‌باشد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>. در میان عامه در این زمینه اختلاف وجود دارد،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طایفه اول در اینجا منطبق بر قول اول و طایفه دوم منطبق بر قول دوم است.</w:t>
      </w:r>
    </w:p>
    <w:p w:rsidR="007750D7" w:rsidRPr="00010121" w:rsidRDefault="007750D7" w:rsidP="007418EC">
      <w:pPr>
        <w:pStyle w:val="Heading3"/>
        <w:rPr>
          <w:rFonts w:ascii="IRBadr" w:hAnsi="IRBadr" w:cs="IRBadr"/>
          <w:rtl/>
        </w:rPr>
      </w:pPr>
      <w:bookmarkStart w:id="6" w:name="_Toc425844257"/>
      <w:r w:rsidRPr="00010121">
        <w:rPr>
          <w:rFonts w:ascii="IRBadr" w:hAnsi="IRBadr" w:cs="IRBadr"/>
          <w:rtl/>
        </w:rPr>
        <w:t>روایت طایفه دوم</w:t>
      </w:r>
      <w:bookmarkEnd w:id="6"/>
    </w:p>
    <w:p w:rsidR="007750D7" w:rsidRPr="00010121" w:rsidRDefault="007750D7" w:rsidP="00DC4E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0121">
        <w:rPr>
          <w:rFonts w:ascii="IRBadr" w:hAnsi="IRBadr" w:cs="IRBadr"/>
          <w:sz w:val="28"/>
          <w:szCs w:val="28"/>
          <w:rtl/>
          <w:lang w:bidi="fa-IR"/>
        </w:rPr>
        <w:t>برای طایفه دوم نیز روایتی بدین شرح وجود دارد که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10121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روایت هفتم از باب یازده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می‌باشد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634320" w:rsidRPr="00010121" w:rsidRDefault="00634320" w:rsidP="00DC4EC1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«عَنْهُ عَنْ مُحَمَّدِ بْنِ 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حْ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طَلْحَةَ بْنِ زَ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دٍ عَنْ جَعْفَرٍ عَنْ أَبِ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هِ ع قَالَ: لَا 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جَرَّدُ فِ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حَدٍّ وَ لَا 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شْبَحُ 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عْنِ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مَدُّ وَ قَالَ 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ضْرَبُ الزَّانِ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عَلَ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الْحَالِ الَّتِ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وجَدُ عَلَ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هَا إِنْ وُجِدَ عُرْ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اناً ضُرِبَ عُرْ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اناً وَ إِنْ وُجِدَ وَ عَلَ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ثِ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ابُهُ ضُرِبَ وَ عَلَ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ثِ</w:t>
      </w:r>
      <w:r w:rsidR="00297558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ابُهُ.»</w:t>
      </w:r>
      <w:r w:rsidRPr="00010121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5"/>
      </w:r>
    </w:p>
    <w:p w:rsidR="007750D7" w:rsidRPr="00010121" w:rsidRDefault="007750D7" w:rsidP="00DC4E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روایت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که در هیچ حدی شخص برهنه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7750D7" w:rsidRPr="00010121" w:rsidRDefault="007750D7" w:rsidP="00010121">
      <w:pPr>
        <w:pStyle w:val="Heading4"/>
        <w:rPr>
          <w:rFonts w:ascii="IRBadr" w:hAnsi="IRBadr" w:cs="IRBadr"/>
          <w:rtl/>
        </w:rPr>
      </w:pPr>
      <w:bookmarkStart w:id="7" w:name="_Toc425844258"/>
      <w:r w:rsidRPr="00010121">
        <w:rPr>
          <w:rFonts w:ascii="IRBadr" w:hAnsi="IRBadr" w:cs="IRBadr"/>
          <w:rtl/>
        </w:rPr>
        <w:t>معنای «</w:t>
      </w:r>
      <w:r w:rsidR="00010121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یشْبَحُ</w:t>
      </w:r>
      <w:r w:rsidRPr="00010121">
        <w:rPr>
          <w:rFonts w:ascii="IRBadr" w:hAnsi="IRBadr" w:cs="IRBadr"/>
          <w:rtl/>
        </w:rPr>
        <w:t>»</w:t>
      </w:r>
      <w:bookmarkEnd w:id="7"/>
    </w:p>
    <w:p w:rsidR="007750D7" w:rsidRPr="00010121" w:rsidRDefault="007750D7" w:rsidP="0001012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0121">
        <w:rPr>
          <w:rFonts w:ascii="IRBadr" w:hAnsi="IRBadr" w:cs="IRBadr"/>
          <w:sz w:val="28"/>
          <w:szCs w:val="28"/>
          <w:rtl/>
          <w:lang w:bidi="fa-IR"/>
        </w:rPr>
        <w:lastRenderedPageBreak/>
        <w:t>البته در عبارت «</w:t>
      </w:r>
      <w:r w:rsidR="00010121" w:rsidRP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لَا ی</w:t>
      </w:r>
      <w:r w:rsidR="0001012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شْبَحُ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»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چند احتمال وجود دارد؛ یک معنا آن است که </w:t>
      </w:r>
      <w:r w:rsidR="009E5153" w:rsidRPr="00010121">
        <w:rPr>
          <w:rFonts w:ascii="IRBadr" w:hAnsi="IRBadr" w:cs="IRBadr"/>
          <w:sz w:val="28"/>
          <w:szCs w:val="28"/>
          <w:rtl/>
          <w:lang w:bidi="fa-IR"/>
        </w:rPr>
        <w:t xml:space="preserve">دست و پای او را به غل و زنجیر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نمی‌بندند</w:t>
      </w:r>
      <w:r w:rsidR="009E5153" w:rsidRPr="00010121">
        <w:rPr>
          <w:rFonts w:ascii="IRBadr" w:hAnsi="IRBadr" w:cs="IRBadr"/>
          <w:sz w:val="28"/>
          <w:szCs w:val="28"/>
          <w:rtl/>
          <w:lang w:bidi="fa-IR"/>
        </w:rPr>
        <w:t>،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9E5153" w:rsidRPr="00010121">
        <w:rPr>
          <w:rFonts w:ascii="IRBadr" w:hAnsi="IRBadr" w:cs="IRBadr"/>
          <w:sz w:val="28"/>
          <w:szCs w:val="28"/>
          <w:rtl/>
          <w:lang w:bidi="fa-IR"/>
        </w:rPr>
        <w:t xml:space="preserve"> معانی دیگری نیز برای آن نقل شده است که در جای خود باید مطرح شود.</w:t>
      </w:r>
    </w:p>
    <w:p w:rsidR="007750D7" w:rsidRPr="00010121" w:rsidRDefault="00E4796D" w:rsidP="007418EC">
      <w:pPr>
        <w:pStyle w:val="Heading3"/>
        <w:rPr>
          <w:rFonts w:ascii="IRBadr" w:hAnsi="IRBadr" w:cs="IRBadr"/>
          <w:rtl/>
        </w:rPr>
      </w:pPr>
      <w:bookmarkStart w:id="8" w:name="_Toc425844259"/>
      <w:r w:rsidRPr="00010121">
        <w:rPr>
          <w:rFonts w:ascii="IRBadr" w:hAnsi="IRBadr" w:cs="IRBadr"/>
          <w:rtl/>
        </w:rPr>
        <w:t>بررسی سندی و دلالی روایت</w:t>
      </w:r>
      <w:bookmarkEnd w:id="8"/>
    </w:p>
    <w:p w:rsidR="00E4796D" w:rsidRPr="00010121" w:rsidRDefault="00E4796D" w:rsidP="00DC4E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در این روایت از جهت سند و دلالت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بحث‌هایی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وجود دارد. تنها اشکال سندی موجود در این روایت طلحة بن زید است که توثیق مثمر </w:t>
      </w:r>
      <w:r w:rsidR="00102506">
        <w:rPr>
          <w:rFonts w:ascii="IRBadr" w:hAnsi="IRBadr" w:cs="IRBadr"/>
          <w:sz w:val="28"/>
          <w:szCs w:val="28"/>
          <w:rtl/>
          <w:lang w:bidi="fa-IR"/>
        </w:rPr>
        <w:t>فایده‌ای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ندارد.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تنها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در فهرست مرحوم شیخ وارد شده که او عامی المذهب است. </w:t>
      </w:r>
      <w:r w:rsidR="00F31B78">
        <w:rPr>
          <w:rFonts w:ascii="IRBadr" w:hAnsi="IRBadr" w:cs="IRBadr"/>
          <w:sz w:val="28"/>
          <w:szCs w:val="28"/>
          <w:rtl/>
          <w:lang w:bidi="fa-IR"/>
        </w:rPr>
        <w:t>درا</w:t>
      </w:r>
      <w:r w:rsidR="00F31B78">
        <w:rPr>
          <w:rFonts w:ascii="IRBadr" w:hAnsi="IRBadr" w:cs="IRBadr" w:hint="cs"/>
          <w:sz w:val="28"/>
          <w:szCs w:val="28"/>
          <w:rtl/>
          <w:lang w:bidi="fa-IR"/>
        </w:rPr>
        <w:t>ین‌بین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کسانی نیز این روایت را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پذیرفته‌اند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که این از طرق مختلفی رقم خورده است.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اولین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راه توثیق او این است که وصف وارد شده در فهرست درباره او را حمل بر توثیق او کنیم،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حال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یا به التزام و یا به کنایه.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راهی است که برخی مانند آقای خویی آن را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پذیرفته‌اند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>،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این راه بعید نیست که مقبول باشد.</w:t>
      </w:r>
    </w:p>
    <w:p w:rsidR="00E4796D" w:rsidRPr="00010121" w:rsidRDefault="00E4796D" w:rsidP="007418EC">
      <w:pPr>
        <w:pStyle w:val="Heading3"/>
        <w:rPr>
          <w:rFonts w:ascii="IRBadr" w:hAnsi="IRBadr" w:cs="IRBadr"/>
          <w:rtl/>
        </w:rPr>
      </w:pPr>
      <w:bookmarkStart w:id="9" w:name="_Toc425844260"/>
      <w:r w:rsidRPr="00010121">
        <w:rPr>
          <w:rFonts w:ascii="IRBadr" w:hAnsi="IRBadr" w:cs="IRBadr"/>
          <w:rtl/>
        </w:rPr>
        <w:t>راه دوم توثیق</w:t>
      </w:r>
      <w:bookmarkEnd w:id="9"/>
    </w:p>
    <w:p w:rsidR="00E4796D" w:rsidRPr="00010121" w:rsidRDefault="00E4796D" w:rsidP="00DC4E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0121">
        <w:rPr>
          <w:rFonts w:ascii="IRBadr" w:hAnsi="IRBadr" w:cs="IRBadr"/>
          <w:sz w:val="28"/>
          <w:szCs w:val="28"/>
          <w:rtl/>
          <w:lang w:bidi="fa-IR"/>
        </w:rPr>
        <w:t>راه دوم توثیق این است که او را از رجال صفوان بدانیم،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جایی دیگر صفوان از طلحه نقل نموده است،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راه نیز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31B78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واقع شود.</w:t>
      </w:r>
    </w:p>
    <w:p w:rsidR="00CF74E3" w:rsidRPr="00010121" w:rsidRDefault="00CF74E3" w:rsidP="007418EC">
      <w:pPr>
        <w:pStyle w:val="Heading3"/>
        <w:rPr>
          <w:rFonts w:ascii="IRBadr" w:hAnsi="IRBadr" w:cs="IRBadr"/>
          <w:rtl/>
        </w:rPr>
      </w:pPr>
      <w:bookmarkStart w:id="10" w:name="_Toc425844261"/>
      <w:r w:rsidRPr="00010121">
        <w:rPr>
          <w:rFonts w:ascii="IRBadr" w:hAnsi="IRBadr" w:cs="IRBadr"/>
          <w:rtl/>
        </w:rPr>
        <w:t>راه سوم توثیق</w:t>
      </w:r>
      <w:bookmarkEnd w:id="10"/>
    </w:p>
    <w:p w:rsidR="00E4796D" w:rsidRPr="00010121" w:rsidRDefault="00CF74E3" w:rsidP="00DC4E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راه سوم این است که کسی قائل به انجبار ضعف سند این روایت به وسیله شهرت شود که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ظاهراً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در میان متقدمین مانند شیخ و مرحوم مفید قائل به همین تفصیل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بوده‌اند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>.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لکن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31B78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که بارها گفته شده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نمی‌توان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به این احتمال تکیه نمود.</w:t>
      </w:r>
    </w:p>
    <w:p w:rsidR="00CF74E3" w:rsidRPr="00010121" w:rsidRDefault="00CF74E3" w:rsidP="007418EC">
      <w:pPr>
        <w:pStyle w:val="Heading3"/>
        <w:rPr>
          <w:rFonts w:ascii="IRBadr" w:hAnsi="IRBadr" w:cs="IRBadr"/>
          <w:rtl/>
        </w:rPr>
      </w:pPr>
      <w:bookmarkStart w:id="11" w:name="_Toc425844262"/>
      <w:r w:rsidRPr="00010121">
        <w:rPr>
          <w:rFonts w:ascii="IRBadr" w:hAnsi="IRBadr" w:cs="IRBadr"/>
          <w:rtl/>
        </w:rPr>
        <w:t>بررسی دلالی روایت</w:t>
      </w:r>
      <w:bookmarkEnd w:id="11"/>
    </w:p>
    <w:p w:rsidR="00CF74E3" w:rsidRPr="00010121" w:rsidRDefault="00CF74E3" w:rsidP="00DC4E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0121">
        <w:rPr>
          <w:rFonts w:ascii="IRBadr" w:hAnsi="IRBadr" w:cs="IRBadr"/>
          <w:sz w:val="28"/>
          <w:szCs w:val="28"/>
          <w:rtl/>
          <w:lang w:bidi="fa-IR"/>
        </w:rPr>
        <w:t>نکته اول در این زمینه این است که صدر و ذیل روایت با یکدیگر سازگاری ندارد.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اشکال جواب روشنی دارد که آقای گلپایگانی مطرح کردند؛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لایجرد فی حده» دو معنا دارد؛ یک معنا این است که اگر او را با لباس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یافته‌ایم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>، نباید او را در این صورت عریان کنیم.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معنا این باشد،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صدر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و ذیل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کاملاً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با یکدیگر مطابق هستند.</w:t>
      </w:r>
    </w:p>
    <w:p w:rsidR="00CF74E3" w:rsidRPr="00010121" w:rsidRDefault="00CF74E3" w:rsidP="007418EC">
      <w:pPr>
        <w:pStyle w:val="Heading4"/>
        <w:rPr>
          <w:rFonts w:ascii="IRBadr" w:hAnsi="IRBadr" w:cs="IRBadr"/>
          <w:rtl/>
        </w:rPr>
      </w:pPr>
      <w:bookmarkStart w:id="12" w:name="_Toc425844263"/>
      <w:r w:rsidRPr="00010121">
        <w:rPr>
          <w:rFonts w:ascii="IRBadr" w:hAnsi="IRBadr" w:cs="IRBadr"/>
          <w:rtl/>
        </w:rPr>
        <w:t>معنای فرازی از روایت</w:t>
      </w:r>
      <w:bookmarkEnd w:id="12"/>
    </w:p>
    <w:p w:rsidR="00CF74E3" w:rsidRPr="00010121" w:rsidRDefault="00CF74E3" w:rsidP="00DC4E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در روایت وارد شده که؛ «علی الحال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آلتی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وجد علیها»،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اینکه منظور از این فراز چیست؟</w:t>
      </w:r>
    </w:p>
    <w:p w:rsidR="00CF74E3" w:rsidRPr="00010121" w:rsidRDefault="00CF74E3" w:rsidP="00DC4E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0121">
        <w:rPr>
          <w:rFonts w:ascii="IRBadr" w:hAnsi="IRBadr" w:cs="IRBadr"/>
          <w:sz w:val="28"/>
          <w:szCs w:val="28"/>
          <w:rtl/>
          <w:lang w:bidi="fa-IR"/>
        </w:rPr>
        <w:t>دو احتمال در معنای فراز گذشته</w:t>
      </w:r>
    </w:p>
    <w:p w:rsidR="00CF74E3" w:rsidRPr="00010121" w:rsidRDefault="00D1651D" w:rsidP="00DC4E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0121">
        <w:rPr>
          <w:rFonts w:ascii="IRBadr" w:hAnsi="IRBadr" w:cs="IRBadr"/>
          <w:sz w:val="28"/>
          <w:szCs w:val="28"/>
          <w:rtl/>
          <w:lang w:bidi="fa-IR"/>
        </w:rPr>
        <w:lastRenderedPageBreak/>
        <w:t>دو احتمال در این زمینه وجود دارد.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یکی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اینکه منظور همان حال زنا باشد،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احتمال دیگری </w:t>
      </w:r>
      <w:r w:rsidR="00F31B78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به اینکه در حال دستگیری مراد روایت بوده باشد.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احتمال اول مورد تأیید برخی </w:t>
      </w:r>
      <w:r w:rsidR="00F31B78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آقای فاضل قرار گرفته که به صورتی مسلم </w:t>
      </w:r>
      <w:r w:rsidR="00F31B78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>،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توجه به مناسبات حکم و موضوع مراد همان حال زنا است.</w:t>
      </w:r>
    </w:p>
    <w:p w:rsidR="00CF74E3" w:rsidRPr="00010121" w:rsidRDefault="00D1651D" w:rsidP="007418EC">
      <w:pPr>
        <w:pStyle w:val="Heading4"/>
        <w:rPr>
          <w:rFonts w:ascii="IRBadr" w:hAnsi="IRBadr" w:cs="IRBadr"/>
          <w:rtl/>
        </w:rPr>
      </w:pPr>
      <w:bookmarkStart w:id="13" w:name="_Toc425844264"/>
      <w:r w:rsidRPr="00010121">
        <w:rPr>
          <w:rFonts w:ascii="IRBadr" w:hAnsi="IRBadr" w:cs="IRBadr"/>
          <w:rtl/>
        </w:rPr>
        <w:t>خدشه در استدلال فوق</w:t>
      </w:r>
      <w:bookmarkEnd w:id="13"/>
    </w:p>
    <w:p w:rsidR="00D1651D" w:rsidRPr="00010121" w:rsidRDefault="00D1651D" w:rsidP="00DC4E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برخی در این استدلال مناقشه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که به همین سهولت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نمی‌توان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زنا را اثبات کرد،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بیشتر جنبه احتمال دوم تقویت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>.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برای ما حالتی که اطمینان به یکی از دو احتمال باشد،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حاصل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نشده است.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گرچه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10121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آقای فاضل احتمال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داده‌اند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>،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اقربیت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بیشتری به ذهن دارد.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مناسبات حکم و موضوع اقتضا 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که در حالت زنا به جهت التذاذی که وجود دارد،</w:t>
      </w:r>
      <w:r w:rsidR="00297558" w:rsidRPr="00010121">
        <w:rPr>
          <w:rFonts w:ascii="IRBadr" w:hAnsi="IRBadr" w:cs="IRBadr"/>
          <w:sz w:val="28"/>
          <w:szCs w:val="28"/>
          <w:rtl/>
          <w:lang w:bidi="fa-IR"/>
        </w:rPr>
        <w:t xml:space="preserve"> فرد</w:t>
      </w:r>
      <w:r w:rsidRPr="00010121">
        <w:rPr>
          <w:rFonts w:ascii="IRBadr" w:hAnsi="IRBadr" w:cs="IRBadr"/>
          <w:sz w:val="28"/>
          <w:szCs w:val="28"/>
          <w:rtl/>
          <w:lang w:bidi="fa-IR"/>
        </w:rPr>
        <w:t xml:space="preserve"> عریان شده است.</w:t>
      </w:r>
    </w:p>
    <w:p w:rsidR="00D1651D" w:rsidRPr="00010121" w:rsidRDefault="00D1651D" w:rsidP="00DC4E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010121" w:rsidRDefault="00152670" w:rsidP="00DC4EC1">
      <w:pPr>
        <w:bidi/>
        <w:jc w:val="both"/>
        <w:rPr>
          <w:rFonts w:ascii="IRBadr" w:hAnsi="IRBadr" w:cs="IRBadr"/>
          <w:rtl/>
          <w:lang w:bidi="fa-IR"/>
        </w:rPr>
      </w:pPr>
    </w:p>
    <w:sectPr w:rsidR="00152670" w:rsidRPr="00010121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B9" w:rsidRDefault="004A35B9" w:rsidP="000D5800">
      <w:pPr>
        <w:spacing w:after="0" w:line="240" w:lineRule="auto"/>
      </w:pPr>
      <w:r>
        <w:separator/>
      </w:r>
    </w:p>
  </w:endnote>
  <w:endnote w:type="continuationSeparator" w:id="0">
    <w:p w:rsidR="004A35B9" w:rsidRDefault="004A35B9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B9" w:rsidRDefault="004A35B9" w:rsidP="00D70C4E">
      <w:pPr>
        <w:bidi/>
        <w:spacing w:after="0" w:line="240" w:lineRule="auto"/>
      </w:pPr>
      <w:r>
        <w:separator/>
      </w:r>
    </w:p>
  </w:footnote>
  <w:footnote w:type="continuationSeparator" w:id="0">
    <w:p w:rsidR="004A35B9" w:rsidRDefault="004A35B9" w:rsidP="000D5800">
      <w:pPr>
        <w:spacing w:after="0" w:line="240" w:lineRule="auto"/>
      </w:pPr>
      <w:r>
        <w:continuationSeparator/>
      </w:r>
    </w:p>
  </w:footnote>
  <w:footnote w:id="1">
    <w:p w:rsidR="007257C4" w:rsidRPr="00F31B78" w:rsidRDefault="007257C4">
      <w:pPr>
        <w:pStyle w:val="FootnoteText"/>
        <w:rPr>
          <w:rFonts w:ascii="IRBadr" w:hAnsi="IRBadr" w:cs="IRBadr"/>
          <w:b/>
          <w:bCs/>
          <w:sz w:val="18"/>
          <w:szCs w:val="18"/>
          <w:rtl/>
        </w:rPr>
      </w:pPr>
      <w:r w:rsidRPr="00F31B78">
        <w:rPr>
          <w:rStyle w:val="FootnoteReference"/>
          <w:rFonts w:ascii="IRBadr" w:hAnsi="IRBadr" w:cs="IRBadr"/>
          <w:b/>
          <w:bCs/>
          <w:sz w:val="18"/>
          <w:szCs w:val="18"/>
        </w:rPr>
        <w:footnoteRef/>
      </w:r>
      <w:r w:rsidRPr="00F31B78">
        <w:rPr>
          <w:rFonts w:ascii="IRBadr" w:hAnsi="IRBadr" w:cs="IRBadr"/>
          <w:b/>
          <w:bCs/>
          <w:sz w:val="18"/>
          <w:szCs w:val="18"/>
          <w:rtl/>
        </w:rPr>
        <w:t xml:space="preserve"> </w:t>
      </w:r>
      <w:r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 xml:space="preserve">من لا </w:t>
      </w:r>
      <w:r w:rsidR="00297558"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>ی</w:t>
      </w:r>
      <w:r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>حضره الفق</w:t>
      </w:r>
      <w:r w:rsidR="00297558"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>ی</w:t>
      </w:r>
      <w:r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 xml:space="preserve">ه؛ </w:t>
      </w:r>
      <w:r w:rsidR="00297558"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>ج 4</w:t>
      </w:r>
      <w:r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>، ص: 29</w:t>
      </w:r>
    </w:p>
  </w:footnote>
  <w:footnote w:id="2">
    <w:p w:rsidR="00634320" w:rsidRPr="00F31B78" w:rsidRDefault="00634320" w:rsidP="00634320">
      <w:pPr>
        <w:pStyle w:val="FootnoteText"/>
        <w:rPr>
          <w:rFonts w:ascii="IRBadr" w:hAnsi="IRBadr" w:cs="IRBadr"/>
          <w:b/>
          <w:bCs/>
          <w:sz w:val="18"/>
          <w:szCs w:val="18"/>
        </w:rPr>
      </w:pPr>
      <w:r w:rsidRPr="00F31B78">
        <w:rPr>
          <w:rStyle w:val="FootnoteReference"/>
          <w:rFonts w:ascii="IRBadr" w:hAnsi="IRBadr" w:cs="IRBadr"/>
          <w:b/>
          <w:bCs/>
          <w:sz w:val="18"/>
          <w:szCs w:val="18"/>
        </w:rPr>
        <w:footnoteRef/>
      </w:r>
      <w:r w:rsidRPr="00F31B78">
        <w:rPr>
          <w:rFonts w:ascii="IRBadr" w:hAnsi="IRBadr" w:cs="IRBadr"/>
          <w:b/>
          <w:bCs/>
          <w:sz w:val="18"/>
          <w:szCs w:val="18"/>
          <w:rtl/>
        </w:rPr>
        <w:t xml:space="preserve"> </w:t>
      </w:r>
      <w:r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 xml:space="preserve">علل الشرائع؛ </w:t>
      </w:r>
      <w:r w:rsidR="00297558"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>ج 2</w:t>
      </w:r>
      <w:r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>، ص: 54</w:t>
      </w:r>
      <w:bookmarkStart w:id="2" w:name="_GoBack"/>
      <w:bookmarkEnd w:id="2"/>
      <w:r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>4</w:t>
      </w:r>
    </w:p>
  </w:footnote>
  <w:footnote w:id="3">
    <w:p w:rsidR="00634320" w:rsidRPr="00F31B78" w:rsidRDefault="00634320">
      <w:pPr>
        <w:pStyle w:val="FootnoteText"/>
        <w:rPr>
          <w:rFonts w:ascii="IRBadr" w:hAnsi="IRBadr" w:cs="IRBadr"/>
          <w:b/>
          <w:bCs/>
          <w:sz w:val="18"/>
          <w:szCs w:val="18"/>
        </w:rPr>
      </w:pPr>
      <w:r w:rsidRPr="00F31B78">
        <w:rPr>
          <w:rStyle w:val="FootnoteReference"/>
          <w:rFonts w:ascii="IRBadr" w:hAnsi="IRBadr" w:cs="IRBadr"/>
          <w:b/>
          <w:bCs/>
          <w:sz w:val="18"/>
          <w:szCs w:val="18"/>
        </w:rPr>
        <w:footnoteRef/>
      </w:r>
      <w:r w:rsidRPr="00F31B78">
        <w:rPr>
          <w:rFonts w:ascii="IRBadr" w:hAnsi="IRBadr" w:cs="IRBadr"/>
          <w:b/>
          <w:bCs/>
          <w:sz w:val="18"/>
          <w:szCs w:val="18"/>
          <w:rtl/>
        </w:rPr>
        <w:t xml:space="preserve"> </w:t>
      </w:r>
      <w:r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>ال</w:t>
      </w:r>
      <w:r w:rsidR="00297558"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>ک</w:t>
      </w:r>
      <w:r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>اف</w:t>
      </w:r>
      <w:r w:rsidR="00297558"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>ی</w:t>
      </w:r>
      <w:r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 xml:space="preserve"> (ط - الإسلام</w:t>
      </w:r>
      <w:r w:rsidR="00297558"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>ی</w:t>
      </w:r>
      <w:r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 xml:space="preserve">ة)؛ </w:t>
      </w:r>
      <w:r w:rsidR="00297558"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>ج 7</w:t>
      </w:r>
      <w:r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>، ص: 183</w:t>
      </w:r>
    </w:p>
  </w:footnote>
  <w:footnote w:id="4">
    <w:p w:rsidR="00634320" w:rsidRPr="00F31B78" w:rsidRDefault="00634320">
      <w:pPr>
        <w:pStyle w:val="FootnoteText"/>
        <w:rPr>
          <w:rFonts w:ascii="IRBadr" w:hAnsi="IRBadr" w:cs="IRBadr"/>
          <w:b/>
          <w:bCs/>
          <w:sz w:val="18"/>
          <w:szCs w:val="18"/>
          <w:rtl/>
        </w:rPr>
      </w:pPr>
      <w:r w:rsidRPr="00F31B78">
        <w:rPr>
          <w:rStyle w:val="FootnoteReference"/>
          <w:rFonts w:ascii="IRBadr" w:hAnsi="IRBadr" w:cs="IRBadr"/>
          <w:b/>
          <w:bCs/>
          <w:sz w:val="18"/>
          <w:szCs w:val="18"/>
        </w:rPr>
        <w:footnoteRef/>
      </w:r>
      <w:r w:rsidRPr="00F31B78">
        <w:rPr>
          <w:rFonts w:ascii="IRBadr" w:hAnsi="IRBadr" w:cs="IRBadr"/>
          <w:b/>
          <w:bCs/>
          <w:sz w:val="18"/>
          <w:szCs w:val="18"/>
          <w:rtl/>
        </w:rPr>
        <w:t xml:space="preserve"> </w:t>
      </w:r>
      <w:r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>ال</w:t>
      </w:r>
      <w:r w:rsidR="00297558"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>ک</w:t>
      </w:r>
      <w:r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>اف</w:t>
      </w:r>
      <w:r w:rsidR="00297558"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>ی</w:t>
      </w:r>
      <w:r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 xml:space="preserve"> (ط - الإسلام</w:t>
      </w:r>
      <w:r w:rsidR="00297558"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>ی</w:t>
      </w:r>
      <w:r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 xml:space="preserve">ة)؛ </w:t>
      </w:r>
      <w:r w:rsidR="00297558"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>ج 7</w:t>
      </w:r>
      <w:r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>، ص: 183</w:t>
      </w:r>
    </w:p>
  </w:footnote>
  <w:footnote w:id="5">
    <w:p w:rsidR="00634320" w:rsidRPr="00F31B78" w:rsidRDefault="00634320">
      <w:pPr>
        <w:pStyle w:val="FootnoteText"/>
        <w:rPr>
          <w:rFonts w:ascii="IRBadr" w:hAnsi="IRBadr" w:cs="IRBadr"/>
          <w:b/>
          <w:bCs/>
          <w:sz w:val="18"/>
          <w:szCs w:val="18"/>
          <w:rtl/>
        </w:rPr>
      </w:pPr>
      <w:r w:rsidRPr="00F31B78">
        <w:rPr>
          <w:rStyle w:val="FootnoteReference"/>
          <w:rFonts w:ascii="IRBadr" w:hAnsi="IRBadr" w:cs="IRBadr"/>
          <w:b/>
          <w:bCs/>
          <w:sz w:val="18"/>
          <w:szCs w:val="18"/>
        </w:rPr>
        <w:footnoteRef/>
      </w:r>
      <w:r w:rsidRPr="00F31B78">
        <w:rPr>
          <w:rFonts w:ascii="IRBadr" w:hAnsi="IRBadr" w:cs="IRBadr"/>
          <w:b/>
          <w:bCs/>
          <w:sz w:val="18"/>
          <w:szCs w:val="18"/>
          <w:rtl/>
        </w:rPr>
        <w:t xml:space="preserve"> </w:t>
      </w:r>
      <w:r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>تهذ</w:t>
      </w:r>
      <w:r w:rsidR="00297558"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>ی</w:t>
      </w:r>
      <w:r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>ب الأح</w:t>
      </w:r>
      <w:r w:rsidR="00297558"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>ک</w:t>
      </w:r>
      <w:r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 xml:space="preserve">ام؛ </w:t>
      </w:r>
      <w:r w:rsidR="00297558"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>ج 10</w:t>
      </w:r>
      <w:r w:rsidRPr="00F31B78">
        <w:rPr>
          <w:rFonts w:ascii="IRBadr" w:hAnsi="IRBadr" w:cs="IRBadr"/>
          <w:b/>
          <w:bCs/>
          <w:color w:val="000000" w:themeColor="text1"/>
          <w:sz w:val="18"/>
          <w:szCs w:val="18"/>
          <w:rtl/>
        </w:rPr>
        <w:t>، ص: 32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76136C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F46E74C" wp14:editId="1E24350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D2ED42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4" w:name="OLE_LINK1"/>
    <w:bookmarkStart w:id="15" w:name="OLE_LINK2"/>
    <w:r>
      <w:rPr>
        <w:noProof/>
        <w:lang w:bidi="fa-IR"/>
      </w:rPr>
      <w:drawing>
        <wp:inline distT="0" distB="0" distL="0" distR="0" wp14:anchorId="6E137FB8" wp14:editId="7D17B3CB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="00297558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76136C">
      <w:rPr>
        <w:rFonts w:ascii="IranNastaliq" w:hAnsi="IranNastaliq" w:cs="IranNastaliq" w:hint="cs"/>
        <w:sz w:val="40"/>
        <w:szCs w:val="40"/>
        <w:rtl/>
      </w:rPr>
      <w:t>770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6C"/>
    <w:rsid w:val="00010121"/>
    <w:rsid w:val="000228A2"/>
    <w:rsid w:val="000324F1"/>
    <w:rsid w:val="00041FE0"/>
    <w:rsid w:val="00052BA3"/>
    <w:rsid w:val="00057152"/>
    <w:rsid w:val="0006363E"/>
    <w:rsid w:val="00080DFF"/>
    <w:rsid w:val="00085ED5"/>
    <w:rsid w:val="000A1A51"/>
    <w:rsid w:val="000A5EED"/>
    <w:rsid w:val="000D2D0D"/>
    <w:rsid w:val="000D5800"/>
    <w:rsid w:val="000F1897"/>
    <w:rsid w:val="000F7E72"/>
    <w:rsid w:val="00101E2D"/>
    <w:rsid w:val="00102506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97558"/>
    <w:rsid w:val="002C56FD"/>
    <w:rsid w:val="002D49E4"/>
    <w:rsid w:val="002E450B"/>
    <w:rsid w:val="002E73F9"/>
    <w:rsid w:val="002F05B9"/>
    <w:rsid w:val="00300CEF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A35B9"/>
    <w:rsid w:val="004B337F"/>
    <w:rsid w:val="004F3596"/>
    <w:rsid w:val="00563965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4320"/>
    <w:rsid w:val="00636EFA"/>
    <w:rsid w:val="0066229C"/>
    <w:rsid w:val="0069696C"/>
    <w:rsid w:val="006A085A"/>
    <w:rsid w:val="006D3A87"/>
    <w:rsid w:val="006F01B4"/>
    <w:rsid w:val="007257C4"/>
    <w:rsid w:val="00734D59"/>
    <w:rsid w:val="0073609B"/>
    <w:rsid w:val="007418EC"/>
    <w:rsid w:val="00752745"/>
    <w:rsid w:val="00753623"/>
    <w:rsid w:val="0076136C"/>
    <w:rsid w:val="0076665E"/>
    <w:rsid w:val="007749BC"/>
    <w:rsid w:val="007750D7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32AFA"/>
    <w:rsid w:val="008407A4"/>
    <w:rsid w:val="00844860"/>
    <w:rsid w:val="00845CC4"/>
    <w:rsid w:val="00863F42"/>
    <w:rsid w:val="008644F4"/>
    <w:rsid w:val="00883733"/>
    <w:rsid w:val="008965D2"/>
    <w:rsid w:val="008A236D"/>
    <w:rsid w:val="008B565A"/>
    <w:rsid w:val="008C3414"/>
    <w:rsid w:val="008C76DF"/>
    <w:rsid w:val="008D36D5"/>
    <w:rsid w:val="008E3903"/>
    <w:rsid w:val="008F63E3"/>
    <w:rsid w:val="008F7518"/>
    <w:rsid w:val="009055BD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E5153"/>
    <w:rsid w:val="009F4EB3"/>
    <w:rsid w:val="00A06D48"/>
    <w:rsid w:val="00A21834"/>
    <w:rsid w:val="00A22563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53836"/>
    <w:rsid w:val="00B63F15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4E3"/>
    <w:rsid w:val="00CF7916"/>
    <w:rsid w:val="00D158F3"/>
    <w:rsid w:val="00D1651D"/>
    <w:rsid w:val="00D3665C"/>
    <w:rsid w:val="00D508CC"/>
    <w:rsid w:val="00D50F4B"/>
    <w:rsid w:val="00D60547"/>
    <w:rsid w:val="00D66444"/>
    <w:rsid w:val="00D70C4E"/>
    <w:rsid w:val="00D76353"/>
    <w:rsid w:val="00DB28BB"/>
    <w:rsid w:val="00DC4EC1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37A90"/>
    <w:rsid w:val="00E4796D"/>
    <w:rsid w:val="00E55891"/>
    <w:rsid w:val="00E6283A"/>
    <w:rsid w:val="00E732A3"/>
    <w:rsid w:val="00E83A85"/>
    <w:rsid w:val="00E90FC4"/>
    <w:rsid w:val="00E97E00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31B78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613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418EC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418EC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2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7257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7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613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418EC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418EC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2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7257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7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A0EF6-109C-4552-853D-D81DF730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134</TotalTime>
  <Pages>6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24</cp:revision>
  <dcterms:created xsi:type="dcterms:W3CDTF">2014-12-20T09:58:00Z</dcterms:created>
  <dcterms:modified xsi:type="dcterms:W3CDTF">2015-07-25T18:58:00Z</dcterms:modified>
</cp:coreProperties>
</file>