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E" w:rsidRDefault="007C25D4" w:rsidP="00FB361E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B78A3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FB78A3" w:rsidRPr="009D0F43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9D0F43" w:rsidRDefault="009D0F43" w:rsidP="009D0F4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9D0F43" w:rsidRDefault="009D0F43" w:rsidP="009D0F4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1-3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844350" w:history="1">
        <w:r w:rsidRPr="00CC15CB">
          <w:rPr>
            <w:rStyle w:val="Hyperlink"/>
            <w:rFonts w:ascii="IRBadr" w:hAnsi="IRBadr" w:cs="IRBadr" w:hint="eastAsia"/>
            <w:noProof/>
            <w:rtl/>
          </w:rPr>
          <w:t>اعضا</w:t>
        </w:r>
        <w:r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C15CB">
          <w:rPr>
            <w:rStyle w:val="Hyperlink"/>
            <w:rFonts w:ascii="IRBadr" w:hAnsi="IRBadr" w:cs="IRBadr" w:hint="eastAsia"/>
            <w:noProof/>
            <w:rtl/>
          </w:rPr>
          <w:t>استثنا</w:t>
        </w:r>
        <w:r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C15CB">
          <w:rPr>
            <w:rStyle w:val="Hyperlink"/>
            <w:rFonts w:ascii="IRBadr" w:hAnsi="IRBadr" w:cs="IRBadr" w:hint="eastAsia"/>
            <w:noProof/>
            <w:rtl/>
          </w:rPr>
          <w:t>شده</w:t>
        </w:r>
        <w:r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C15CB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C15CB">
          <w:rPr>
            <w:rStyle w:val="Hyperlink"/>
            <w:rFonts w:ascii="IRBadr" w:hAnsi="IRBadr" w:cs="IRBadr" w:hint="eastAsia"/>
            <w:noProof/>
            <w:rtl/>
          </w:rPr>
          <w:t>حد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_Toc425844350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1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جلد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عرف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_Toc425844351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2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2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تشر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ح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معنا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عرف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جلد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_Toc425844352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2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3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_Toc425844353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2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4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_Toc425844354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2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5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اشکال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_Toc425844355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2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844356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بند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_Toc425844356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3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844357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اهم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هرمونوت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ک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_Toc425844357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3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844358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انصراف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مفاه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_Toc425844358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3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Default="00690779" w:rsidP="009D0F4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844359" w:history="1"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حج</w:t>
        </w:r>
        <w:r w:rsidR="009D0F43" w:rsidRPr="00CC15CB">
          <w:rPr>
            <w:rStyle w:val="Hyperlink"/>
            <w:rFonts w:ascii="IRBadr" w:hAnsi="IRBadr" w:cs="IRBadr" w:hint="cs"/>
            <w:noProof/>
            <w:rtl/>
          </w:rPr>
          <w:t>ی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9D0F43" w:rsidRPr="00CC15CB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D0F43" w:rsidRPr="00CC15CB">
          <w:rPr>
            <w:rStyle w:val="Hyperlink"/>
            <w:rFonts w:ascii="IRBadr" w:hAnsi="IRBadr" w:cs="IRBadr" w:hint="eastAsia"/>
            <w:noProof/>
            <w:rtl/>
          </w:rPr>
          <w:t>انصراف</w:t>
        </w:r>
        <w:r w:rsidR="009D0F43">
          <w:rPr>
            <w:noProof/>
            <w:webHidden/>
          </w:rPr>
          <w:tab/>
        </w:r>
        <w:r w:rsidR="009D0F43">
          <w:rPr>
            <w:rStyle w:val="Hyperlink"/>
            <w:noProof/>
            <w:rtl/>
          </w:rPr>
          <w:fldChar w:fldCharType="begin"/>
        </w:r>
        <w:r w:rsidR="009D0F43">
          <w:rPr>
            <w:noProof/>
            <w:webHidden/>
          </w:rPr>
          <w:instrText xml:space="preserve"> PAGEREF _Toc425844359 \h </w:instrText>
        </w:r>
        <w:r w:rsidR="009D0F43">
          <w:rPr>
            <w:rStyle w:val="Hyperlink"/>
            <w:noProof/>
            <w:rtl/>
          </w:rPr>
        </w:r>
        <w:r w:rsidR="009D0F43">
          <w:rPr>
            <w:rStyle w:val="Hyperlink"/>
            <w:noProof/>
            <w:rtl/>
          </w:rPr>
          <w:fldChar w:fldCharType="separate"/>
        </w:r>
        <w:r w:rsidR="009D0F43">
          <w:rPr>
            <w:noProof/>
            <w:webHidden/>
          </w:rPr>
          <w:t>3</w:t>
        </w:r>
        <w:r w:rsidR="009D0F43">
          <w:rPr>
            <w:rStyle w:val="Hyperlink"/>
            <w:noProof/>
            <w:rtl/>
          </w:rPr>
          <w:fldChar w:fldCharType="end"/>
        </w:r>
      </w:hyperlink>
    </w:p>
    <w:p w:rsidR="009D0F43" w:rsidRPr="009D0F43" w:rsidRDefault="009D0F43" w:rsidP="009D0F4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C3D99" w:rsidRDefault="004C3D99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5844350"/>
      <w:r>
        <w:rPr>
          <w:rFonts w:ascii="IRBadr" w:hAnsi="IRBadr" w:cs="IRBadr"/>
          <w:rtl/>
        </w:rPr>
        <w:br w:type="page"/>
      </w:r>
    </w:p>
    <w:p w:rsidR="00E2554C" w:rsidRPr="009D0F43" w:rsidRDefault="00302A58" w:rsidP="00FB361E">
      <w:pPr>
        <w:pStyle w:val="Heading1"/>
        <w:rPr>
          <w:rFonts w:ascii="IRBadr" w:hAnsi="IRBadr" w:cs="IRBadr"/>
          <w:sz w:val="22"/>
          <w:szCs w:val="22"/>
          <w:rtl/>
          <w:lang w:bidi="ar-SA"/>
        </w:rPr>
      </w:pPr>
      <w:r w:rsidRPr="009D0F43">
        <w:rPr>
          <w:rFonts w:ascii="IRBadr" w:hAnsi="IRBadr" w:cs="IRBadr"/>
          <w:rtl/>
        </w:rPr>
        <w:lastRenderedPageBreak/>
        <w:t>اعضای استثنا شده در حد</w:t>
      </w:r>
      <w:bookmarkEnd w:id="1"/>
    </w:p>
    <w:p w:rsidR="00302A58" w:rsidRPr="009D0F43" w:rsidRDefault="00302A58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در حد برخی از اعضای بدن مورد استثنا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color w:val="FF0000"/>
          <w:sz w:val="28"/>
          <w:szCs w:val="28"/>
          <w:rtl/>
          <w:lang w:bidi="fa-IR"/>
        </w:rPr>
        <w:t>به‌عنوان‌مثال</w:t>
      </w:r>
      <w:r w:rsidRPr="004008C7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color w:val="FF0000"/>
          <w:sz w:val="28"/>
          <w:szCs w:val="28"/>
          <w:rtl/>
          <w:lang w:bidi="fa-IR"/>
        </w:rPr>
        <w:t>همان‌طور</w:t>
      </w:r>
      <w:r w:rsidRPr="004008C7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که در روایات آمده از زدن سنگ به سر فرد مجرم باید جدا پرهیز کرد،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برخی از موارد صورت،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color w:val="FF0000"/>
          <w:sz w:val="28"/>
          <w:szCs w:val="28"/>
          <w:rtl/>
          <w:lang w:bidi="fa-IR"/>
        </w:rPr>
        <w:t>به‌عنوان</w:t>
      </w:r>
      <w:r w:rsidRPr="004008C7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یکی از مستثنیات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معرف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ی‌شده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و در مواردی دیگر نیز عورت مورد استثنا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یادآور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شد که تعابیر در این زمینه متفاوت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اختلاف در فتاوای عامه نیز وجود دارد.</w:t>
      </w:r>
    </w:p>
    <w:p w:rsidR="00E2554C" w:rsidRPr="009D0F43" w:rsidRDefault="007C25D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02A58" w:rsidRPr="009D0F43">
        <w:rPr>
          <w:rFonts w:ascii="IRBadr" w:hAnsi="IRBadr" w:cs="IRBadr"/>
          <w:sz w:val="28"/>
          <w:szCs w:val="28"/>
          <w:rtl/>
          <w:lang w:bidi="fa-IR"/>
        </w:rPr>
        <w:t xml:space="preserve"> اصل استثنا خوردن اعضا مورد اتفاق در عامه و خاصه است.</w:t>
      </w:r>
    </w:p>
    <w:p w:rsidR="00302A58" w:rsidRPr="009D0F43" w:rsidRDefault="00717A84" w:rsidP="00FB361E">
      <w:pPr>
        <w:pStyle w:val="Heading2"/>
        <w:rPr>
          <w:rFonts w:ascii="IRBadr" w:hAnsi="IRBadr" w:cs="IRBadr"/>
          <w:rtl/>
        </w:rPr>
      </w:pPr>
      <w:bookmarkStart w:id="2" w:name="_Toc425844351"/>
      <w:r w:rsidRPr="009D0F43">
        <w:rPr>
          <w:rFonts w:ascii="IRBadr" w:hAnsi="IRBadr" w:cs="IRBadr"/>
          <w:rtl/>
        </w:rPr>
        <w:t>جلد عرفی</w:t>
      </w:r>
      <w:bookmarkEnd w:id="2"/>
    </w:p>
    <w:p w:rsidR="00717A84" w:rsidRPr="009D0F43" w:rsidRDefault="00717A84" w:rsidP="00FB361E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9D0F43">
        <w:rPr>
          <w:rFonts w:ascii="IRBadr" w:hAnsi="IRBadr" w:cs="IRBadr"/>
          <w:color w:val="000000" w:themeColor="text1"/>
          <w:sz w:val="28"/>
          <w:szCs w:val="28"/>
          <w:rtl/>
        </w:rPr>
        <w:t xml:space="preserve">برخی از آیه </w:t>
      </w:r>
      <w:r w:rsidR="00FB361E" w:rsidRPr="009D0F43">
        <w:rPr>
          <w:rFonts w:ascii="IRBadr" w:hAnsi="IRBadr" w:cs="IRBadr"/>
          <w:color w:val="000000" w:themeColor="text1"/>
          <w:sz w:val="28"/>
          <w:szCs w:val="28"/>
          <w:rtl/>
        </w:rPr>
        <w:t>جلد «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الزّانِ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وَ الزّانِ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فَاجْلِدُوا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لَّ واحِدٍ مِنْهُما مِائَةَ جَلْدَةٍ وَ لا تَأْخُذْ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بِهِما رَأْفَةٌ فِ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دِ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 اللّهِ إِنْ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نْتُمْ تُؤْمِنُونَ بِاللّهِ وَ الْ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وْمِ الْآخِرِ وَ لْ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شْهَدْ عَذابَهُما طائِفَةٌ مِنَ الْمُؤْمِنِ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77D66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نَ»</w:t>
      </w:r>
      <w:r w:rsidR="00C77D66" w:rsidRPr="009D0F43">
        <w:rPr>
          <w:rStyle w:val="FootnoteReference"/>
          <w:rFonts w:ascii="IRBadr" w:hAnsi="IRBadr" w:cs="IRBadr"/>
          <w:b/>
          <w:bCs/>
          <w:color w:val="000000" w:themeColor="text1"/>
          <w:sz w:val="36"/>
          <w:szCs w:val="36"/>
          <w:rtl/>
        </w:rPr>
        <w:footnoteReference w:id="1"/>
      </w:r>
      <w:r w:rsidR="00C77D66" w:rsidRPr="009D0F43">
        <w:rPr>
          <w:rFonts w:ascii="IRBadr" w:hAnsi="IRBadr" w:cs="IRBadr"/>
          <w:color w:val="000000" w:themeColor="text1"/>
          <w:sz w:val="36"/>
          <w:szCs w:val="36"/>
          <w:rtl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</w:rPr>
        <w:t xml:space="preserve">چنین استفاده </w:t>
      </w:r>
      <w:r w:rsidR="00FB361E" w:rsidRPr="009D0F43">
        <w:rPr>
          <w:rFonts w:ascii="IRBadr" w:hAnsi="IRBadr" w:cs="IRBadr"/>
          <w:sz w:val="28"/>
          <w:szCs w:val="28"/>
          <w:rtl/>
        </w:rPr>
        <w:t>کرده‌اند</w:t>
      </w:r>
      <w:r w:rsidRPr="009D0F43">
        <w:rPr>
          <w:rFonts w:ascii="IRBadr" w:hAnsi="IRBadr" w:cs="IRBadr"/>
          <w:sz w:val="28"/>
          <w:szCs w:val="28"/>
          <w:rtl/>
        </w:rPr>
        <w:t xml:space="preserve"> که مراد از جلد معنای عرفی آن است.</w:t>
      </w:r>
    </w:p>
    <w:p w:rsidR="00C77D66" w:rsidRPr="009D0F43" w:rsidRDefault="00717A84" w:rsidP="00FB361E">
      <w:pPr>
        <w:pStyle w:val="Heading2"/>
        <w:rPr>
          <w:rFonts w:ascii="IRBadr" w:eastAsia="Times New Roman" w:hAnsi="IRBadr" w:cs="IRBadr"/>
          <w:color w:val="000000"/>
          <w:sz w:val="2"/>
          <w:szCs w:val="2"/>
        </w:rPr>
      </w:pPr>
      <w:bookmarkStart w:id="3" w:name="_Toc425844352"/>
      <w:r w:rsidRPr="009D0F43">
        <w:rPr>
          <w:rFonts w:ascii="IRBadr" w:hAnsi="IRBadr" w:cs="IRBadr"/>
          <w:rtl/>
        </w:rPr>
        <w:t>تشریح معنای عرفی جلد</w:t>
      </w:r>
      <w:bookmarkEnd w:id="3"/>
    </w:p>
    <w:p w:rsidR="00C77D66" w:rsidRPr="009D0F43" w:rsidRDefault="00C77D66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17A84" w:rsidRPr="009D0F43" w:rsidRDefault="00717A8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از جهتی ممکن است که ادعا شود در جلد عرفی اعضایی غیر از </w:t>
      </w:r>
      <w:r w:rsidR="007C25D4">
        <w:rPr>
          <w:rFonts w:ascii="IRBadr" w:hAnsi="IRBadr" w:cs="IRBadr"/>
          <w:color w:val="FF0000"/>
          <w:sz w:val="28"/>
          <w:szCs w:val="28"/>
          <w:rtl/>
          <w:lang w:bidi="fa-IR"/>
        </w:rPr>
        <w:t>سروصورت</w:t>
      </w:r>
      <w:r w:rsidRPr="004008C7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و جلوی بدن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مستقل مورد استثنا قرار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ا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نظریه است که در کلمات علما بدین شکل مطرح نشده است و با </w:t>
      </w:r>
      <w:r w:rsidR="007C25D4">
        <w:rPr>
          <w:rFonts w:ascii="IRBadr" w:hAnsi="IRBadr" w:cs="IRBadr"/>
          <w:color w:val="FF0000"/>
          <w:sz w:val="28"/>
          <w:szCs w:val="28"/>
          <w:rtl/>
          <w:lang w:bidi="fa-IR"/>
        </w:rPr>
        <w:t>قطع‌نظر</w:t>
      </w:r>
      <w:r w:rsidRPr="004008C7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از روایات جلد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17A84" w:rsidRPr="009D0F43" w:rsidRDefault="00717A84" w:rsidP="00FB361E">
      <w:pPr>
        <w:pStyle w:val="Heading2"/>
        <w:rPr>
          <w:rFonts w:ascii="IRBadr" w:hAnsi="IRBadr" w:cs="IRBadr"/>
          <w:rtl/>
        </w:rPr>
      </w:pPr>
      <w:bookmarkStart w:id="4" w:name="_Toc425844353"/>
      <w:r w:rsidRPr="009D0F43">
        <w:rPr>
          <w:rFonts w:ascii="IRBadr" w:hAnsi="IRBadr" w:cs="IRBadr"/>
          <w:rtl/>
        </w:rPr>
        <w:t>نظریه دوم</w:t>
      </w:r>
      <w:bookmarkEnd w:id="4"/>
    </w:p>
    <w:p w:rsidR="00717A84" w:rsidRPr="009D0F43" w:rsidRDefault="00717A8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در مقابل ممکن است کسی ادعا کند که جلد در آیه اطلاق دارد و منظور شکل عرفی آن نیست.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معنای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لغویان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اینجا ملحوظ است یعنی بر قسمت از بدن او زده شود،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صدق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جلد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 صحیح است.</w:t>
      </w:r>
    </w:p>
    <w:p w:rsidR="00717A84" w:rsidRPr="009D0F43" w:rsidRDefault="00717A84" w:rsidP="00FB361E">
      <w:pPr>
        <w:pStyle w:val="Heading2"/>
        <w:rPr>
          <w:rFonts w:ascii="IRBadr" w:hAnsi="IRBadr" w:cs="IRBadr"/>
          <w:rtl/>
        </w:rPr>
      </w:pPr>
      <w:bookmarkStart w:id="5" w:name="_Toc425844354"/>
      <w:r w:rsidRPr="009D0F43">
        <w:rPr>
          <w:rFonts w:ascii="IRBadr" w:hAnsi="IRBadr" w:cs="IRBadr"/>
          <w:rtl/>
        </w:rPr>
        <w:t>اتخاذ مبنا</w:t>
      </w:r>
      <w:bookmarkEnd w:id="5"/>
    </w:p>
    <w:p w:rsidR="00717A84" w:rsidRPr="009D0F43" w:rsidRDefault="00717A8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البته این اشکال چندان وارد نیست و به نظر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مراد حمل بر معنای عرفی باشد.</w:t>
      </w:r>
    </w:p>
    <w:p w:rsidR="00717A84" w:rsidRPr="009D0F43" w:rsidRDefault="00717A84" w:rsidP="00FB361E">
      <w:pPr>
        <w:pStyle w:val="Heading2"/>
        <w:rPr>
          <w:rFonts w:ascii="IRBadr" w:hAnsi="IRBadr" w:cs="IRBadr"/>
          <w:rtl/>
        </w:rPr>
      </w:pPr>
      <w:bookmarkStart w:id="6" w:name="_Toc425844355"/>
      <w:r w:rsidRPr="009D0F43">
        <w:rPr>
          <w:rFonts w:ascii="IRBadr" w:hAnsi="IRBadr" w:cs="IRBadr"/>
          <w:rtl/>
        </w:rPr>
        <w:lastRenderedPageBreak/>
        <w:t>اشکال دوم</w:t>
      </w:r>
      <w:bookmarkEnd w:id="6"/>
    </w:p>
    <w:p w:rsidR="00717A84" w:rsidRPr="009D0F43" w:rsidRDefault="00717A8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در مرحله دوم ممکن است کسی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ا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اشکال کند برای صدق معنای عرفی باید به عرف هر زمان و مقتضیات آن نگاه کرد،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عرف آن زمان در زمان جلد و تنبیه شاید بر سر فرد نیز ضربه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می‌زدند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96034" w:rsidRPr="009D0F43" w:rsidRDefault="007C25D4" w:rsidP="00FB361E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</w:t>
      </w:r>
      <w:r>
        <w:rPr>
          <w:rFonts w:ascii="IRBadr" w:hAnsi="IRBadr" w:cs="IRBadr" w:hint="cs"/>
          <w:rtl/>
        </w:rPr>
        <w:t>ی</w:t>
      </w:r>
    </w:p>
    <w:p w:rsidR="00296034" w:rsidRPr="009D0F43" w:rsidRDefault="007C25D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اینجا دو نظریه وجود داشت،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معتقد بودند که باید حمل بر معنای عرفی شود یا اینکه در عرفی این استثناء وجود ندارد و برخی دیگر مبنایشان این بود که از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آل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حمل بر معنای عرفی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>
        <w:rPr>
          <w:rFonts w:ascii="IRBadr" w:hAnsi="IRBadr" w:cs="IRBadr"/>
          <w:sz w:val="28"/>
          <w:szCs w:val="28"/>
          <w:rtl/>
          <w:lang w:bidi="fa-IR"/>
        </w:rPr>
        <w:t>درا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ین‌بین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بسیار اهمیت دارد که معنای عرفی جلد در آن زمان مشخص شود.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جلد کردن در میان عرب متداول بوده است. جای مطالعه </w:t>
      </w:r>
      <w:r>
        <w:rPr>
          <w:rFonts w:ascii="IRBadr" w:hAnsi="IRBadr" w:cs="IRBadr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 زمینه وجود دارد و در تاریخ جایی مشاهده نکردم که به این قضیه اشاره چندانی شده باشد.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296034" w:rsidRPr="009D0F43">
        <w:rPr>
          <w:rFonts w:ascii="IRBadr" w:hAnsi="IRBadr" w:cs="IRBadr"/>
          <w:sz w:val="28"/>
          <w:szCs w:val="28"/>
          <w:rtl/>
          <w:lang w:bidi="fa-IR"/>
        </w:rPr>
        <w:t xml:space="preserve"> طرفی نیز اگر بخواهیم طبق قواعد پیش برویم نیاز است که اطلاق عرفی جلد در آن زمان مشخص شود.</w:t>
      </w:r>
    </w:p>
    <w:p w:rsidR="00296034" w:rsidRPr="009D0F43" w:rsidRDefault="0029603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چراکه ممکن است اطلاق عرفی آن چندان با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روایات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همخوانی نداشته باشد،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اگر جلد عرفی همه مواضع را در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ی‌گرفته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باید به همان استثنائات موجود در روایات اکتفا کنیم. البته در این میان ممکن است جلد عرفی معنای ضیق تری نسبت جلد شرعی داشته باشد.</w:t>
      </w:r>
    </w:p>
    <w:p w:rsidR="00747D56" w:rsidRPr="009D0F43" w:rsidRDefault="00747D56" w:rsidP="00FB361E">
      <w:pPr>
        <w:pStyle w:val="Heading3"/>
        <w:rPr>
          <w:rFonts w:ascii="IRBadr" w:hAnsi="IRBadr" w:cs="IRBadr"/>
          <w:rtl/>
        </w:rPr>
      </w:pPr>
      <w:bookmarkStart w:id="7" w:name="_Toc425844357"/>
      <w:r w:rsidRPr="009D0F43">
        <w:rPr>
          <w:rFonts w:ascii="IRBadr" w:hAnsi="IRBadr" w:cs="IRBadr"/>
          <w:rtl/>
        </w:rPr>
        <w:t xml:space="preserve">اهمیت </w:t>
      </w:r>
      <w:bookmarkEnd w:id="7"/>
      <w:r w:rsidR="007C25D4">
        <w:rPr>
          <w:rFonts w:ascii="IRBadr" w:hAnsi="IRBadr" w:cs="IRBadr"/>
          <w:rtl/>
        </w:rPr>
        <w:t>هرمنوت</w:t>
      </w:r>
      <w:r w:rsidR="007C25D4">
        <w:rPr>
          <w:rFonts w:ascii="IRBadr" w:hAnsi="IRBadr" w:cs="IRBadr" w:hint="cs"/>
          <w:rtl/>
        </w:rPr>
        <w:t>ی</w:t>
      </w:r>
      <w:r w:rsidR="007C25D4">
        <w:rPr>
          <w:rFonts w:ascii="IRBadr" w:hAnsi="IRBadr" w:cs="IRBadr" w:hint="eastAsia"/>
          <w:rtl/>
        </w:rPr>
        <w:t>ک</w:t>
      </w:r>
    </w:p>
    <w:p w:rsidR="00296034" w:rsidRPr="009D0F43" w:rsidRDefault="0029603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از اینجاست که اهمیت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هرمنوت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یک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 لزوم قرار گرفتنش در اصول مشخص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747D56" w:rsidRPr="009D0F43">
        <w:rPr>
          <w:rFonts w:ascii="IRBadr" w:hAnsi="IRBadr" w:cs="IRBadr"/>
          <w:sz w:val="28"/>
          <w:szCs w:val="28"/>
          <w:rtl/>
          <w:lang w:bidi="fa-IR"/>
        </w:rPr>
        <w:t xml:space="preserve"> ممکن است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الآن</w:t>
      </w:r>
      <w:r w:rsidR="00747D56" w:rsidRPr="009D0F43">
        <w:rPr>
          <w:rFonts w:ascii="IRBadr" w:hAnsi="IRBadr" w:cs="IRBadr"/>
          <w:sz w:val="28"/>
          <w:szCs w:val="28"/>
          <w:rtl/>
          <w:lang w:bidi="fa-IR"/>
        </w:rPr>
        <w:t xml:space="preserve"> لغتی استعمال شود و در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دوره‌های</w:t>
      </w:r>
      <w:r w:rsidR="00747D56" w:rsidRPr="009D0F43">
        <w:rPr>
          <w:rFonts w:ascii="IRBadr" w:hAnsi="IRBadr" w:cs="IRBadr"/>
          <w:sz w:val="28"/>
          <w:szCs w:val="28"/>
          <w:rtl/>
          <w:lang w:bidi="fa-IR"/>
        </w:rPr>
        <w:t xml:space="preserve"> بعدی معانی متفاوتی به خود بگیرد،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="00747D56" w:rsidRPr="009D0F43">
        <w:rPr>
          <w:rFonts w:ascii="IRBadr" w:hAnsi="IRBadr" w:cs="IRBadr"/>
          <w:sz w:val="28"/>
          <w:szCs w:val="28"/>
          <w:rtl/>
          <w:lang w:bidi="fa-IR"/>
        </w:rPr>
        <w:t xml:space="preserve"> ممکن است شعر حافظ در دوره خود برخی از الفاظ به معنایی خاص اطلاق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می‌شده</w:t>
      </w:r>
      <w:r w:rsidR="00747D56" w:rsidRPr="009D0F43">
        <w:rPr>
          <w:rFonts w:ascii="IRBadr" w:hAnsi="IRBadr" w:cs="IRBadr"/>
          <w:sz w:val="28"/>
          <w:szCs w:val="28"/>
          <w:rtl/>
          <w:lang w:bidi="fa-IR"/>
        </w:rPr>
        <w:t xml:space="preserve"> و در زمان فعلی معنای متفاوتی به خود بگیرد.</w:t>
      </w:r>
    </w:p>
    <w:p w:rsidR="00296034" w:rsidRPr="009D0F43" w:rsidRDefault="00D60F37" w:rsidP="00FB361E">
      <w:pPr>
        <w:pStyle w:val="Heading3"/>
        <w:rPr>
          <w:rFonts w:ascii="IRBadr" w:hAnsi="IRBadr" w:cs="IRBadr"/>
          <w:rtl/>
        </w:rPr>
      </w:pPr>
      <w:bookmarkStart w:id="8" w:name="_Toc425844358"/>
      <w:r w:rsidRPr="009D0F43">
        <w:rPr>
          <w:rFonts w:ascii="IRBadr" w:hAnsi="IRBadr" w:cs="IRBadr"/>
          <w:rtl/>
        </w:rPr>
        <w:t>انصراف در مفاهیم</w:t>
      </w:r>
      <w:bookmarkEnd w:id="8"/>
    </w:p>
    <w:p w:rsidR="00D60F37" w:rsidRPr="009D0F43" w:rsidRDefault="00D60F37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بحث حاضر رابطه تنگاتنگی با بحث انصراف دارد که در مباحث پیشین تا حدودی بدان اشاره شد.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انصراف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به دو صورت است؛ گاهی انصراف خارجی است و گاهی انصراف مفهومی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انصراف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خارج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نشأت‌گرفته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از مصادیق متعدد مفهوم در خارج است و انصراف مفهومی این است که رواج خارجی شیء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تکثر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پ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یداکرده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که معنا را تغییر داده است.</w:t>
      </w:r>
    </w:p>
    <w:p w:rsidR="00D60F37" w:rsidRPr="009D0F43" w:rsidRDefault="00D60F37" w:rsidP="00FB361E">
      <w:pPr>
        <w:pStyle w:val="Heading3"/>
        <w:rPr>
          <w:rFonts w:ascii="IRBadr" w:hAnsi="IRBadr" w:cs="IRBadr"/>
          <w:rtl/>
        </w:rPr>
      </w:pPr>
      <w:bookmarkStart w:id="9" w:name="_Toc425844359"/>
      <w:r w:rsidRPr="009D0F43">
        <w:rPr>
          <w:rFonts w:ascii="IRBadr" w:hAnsi="IRBadr" w:cs="IRBadr"/>
          <w:rtl/>
        </w:rPr>
        <w:lastRenderedPageBreak/>
        <w:t>حجیت در انصراف</w:t>
      </w:r>
      <w:bookmarkEnd w:id="9"/>
    </w:p>
    <w:p w:rsidR="00D60F37" w:rsidRPr="009D0F43" w:rsidRDefault="00D60F37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نوع دوم از انصراف یعنی انصراف مفهومی است که دارای حجیت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مقام نیز اگر انصراف در این کالبد شکل بگیرد حجیت پیدا خواهد کرد.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بنابرا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بحث جلد باید به دنبال انصراف مفهومی باشیم که مفهوم جلد در آن دارای حجیت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امری صعب است چراکه لازمه آن بحثی تاریخی و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واژه‌شناس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تاریخی است،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آخر نیز بعید است که بتوان به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نت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یجه‌ای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اطم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ینان‌بخش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 زمینه رسید.</w:t>
      </w:r>
    </w:p>
    <w:p w:rsidR="00D60F37" w:rsidRPr="009D0F43" w:rsidRDefault="00A564C0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احتیاط در حدود</w:t>
      </w:r>
    </w:p>
    <w:p w:rsidR="00A564C0" w:rsidRPr="009D0F43" w:rsidRDefault="00FB361E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باب احتیاط در حدود و محدوده قاعده درع سخنانی به میان آمد.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شد که در این مقام احتیاط اقتضا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که در مواردی که شک نسبت به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وجود دارد حد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بدان‌ها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اصابت نکند.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ممکن است کسی در اینجا بگوید؛ چون در اینجا از جهت مفهومی شبهه داریم جای اطلاق گیری وجود ندارد و باید احتیاط پیشه کرد.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A564C0" w:rsidRPr="009D0F43">
        <w:rPr>
          <w:rFonts w:ascii="IRBadr" w:hAnsi="IRBadr" w:cs="IRBadr"/>
          <w:sz w:val="28"/>
          <w:szCs w:val="28"/>
          <w:rtl/>
          <w:lang w:bidi="fa-IR"/>
        </w:rPr>
        <w:t xml:space="preserve"> صحت این ادعا نیز امری دور از وادی نیست.</w:t>
      </w:r>
    </w:p>
    <w:p w:rsidR="00D60F37" w:rsidRPr="009D0F43" w:rsidRDefault="007C25D4" w:rsidP="00FB361E">
      <w:pPr>
        <w:pStyle w:val="Heading4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</w:t>
      </w:r>
      <w:r>
        <w:rPr>
          <w:rFonts w:ascii="IRBadr" w:hAnsi="IRBadr" w:cs="IRBadr" w:hint="cs"/>
          <w:rtl/>
        </w:rPr>
        <w:t>ی</w:t>
      </w:r>
    </w:p>
    <w:p w:rsidR="00A564C0" w:rsidRPr="009D0F43" w:rsidRDefault="00A564C0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مقام اول درباره این بود که جلد چه مفهومی دارد که گفته شد این امری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مستصعب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و نیاز به تتبع خاص تاریخی و لغوی دارد. در مقام دوم به این پرداختیم که؛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 مقام در حوزه مفهومی جلد دچار تشکیکی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شده‌ایم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درع اتکا کرد و احتیاط پیشه نماییم و جایی برای اطلاق گیری در اینجا وجود ندارد.</w:t>
      </w:r>
    </w:p>
    <w:p w:rsidR="00A564C0" w:rsidRPr="009D0F43" w:rsidRDefault="00A564C0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صور وجود ضرر</w:t>
      </w:r>
    </w:p>
    <w:p w:rsidR="00A564C0" w:rsidRPr="009D0F43" w:rsidRDefault="00A564C0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در اینجا باید متذکر این نکته اساسی شد که همه این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صورتی است ضرر خاص یا قتل در قبال اجرای حدود متصور نباشد،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غیر این صورت،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اجرای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حد محل اشکال خواهد بود.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استثنایی است که در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جاری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خط قرمزی محسوب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اگر در مواردی این احتمال داده شد که ضربه وارد شدن به عورت یا سر یا ...ضرر متعارفی به فرد وارد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مقام اجرای حد باید </w:t>
      </w:r>
      <w:r w:rsidR="007C25D4">
        <w:rPr>
          <w:rFonts w:ascii="IRBadr" w:hAnsi="IRBadr" w:cs="IRBadr"/>
          <w:sz w:val="28"/>
          <w:szCs w:val="28"/>
          <w:rtl/>
          <w:lang w:bidi="fa-IR"/>
        </w:rPr>
        <w:t>تجد</w:t>
      </w:r>
      <w:r w:rsidR="007C25D4">
        <w:rPr>
          <w:rFonts w:ascii="IRBadr" w:hAnsi="IRBadr" w:cs="IRBadr" w:hint="cs"/>
          <w:sz w:val="28"/>
          <w:szCs w:val="28"/>
          <w:rtl/>
          <w:lang w:bidi="fa-IR"/>
        </w:rPr>
        <w:t>یدنظر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نمود.</w:t>
      </w:r>
    </w:p>
    <w:p w:rsidR="00A564C0" w:rsidRPr="009D0F43" w:rsidRDefault="007A64AA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مستثنیات حد</w:t>
      </w:r>
    </w:p>
    <w:p w:rsidR="007A64AA" w:rsidRPr="009D0F43" w:rsidRDefault="007C25D4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عامه و خاصه،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و عورت از مواردی </w:t>
      </w:r>
      <w:r w:rsidR="004C3D99">
        <w:rPr>
          <w:rFonts w:ascii="IRBadr" w:hAnsi="IRBadr" w:cs="IRBadr"/>
          <w:sz w:val="28"/>
          <w:szCs w:val="28"/>
          <w:rtl/>
          <w:lang w:bidi="fa-IR"/>
        </w:rPr>
        <w:t>هستند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که به نحوی اتفاقی مورد استثنا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قرارگرفته‌اند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>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برخی کلمات خاصه رأس و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در برخ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سخنان عامه گردن نیز استثنا شده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بعید است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آن‌گونه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که آقای مکارم تلقی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اختلاف تعابیری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صرفاً</w:t>
      </w:r>
      <w:r w:rsidR="007A64AA" w:rsidRPr="009D0F43">
        <w:rPr>
          <w:rFonts w:ascii="IRBadr" w:hAnsi="IRBadr" w:cs="IRBadr"/>
          <w:sz w:val="28"/>
          <w:szCs w:val="28"/>
          <w:rtl/>
          <w:lang w:bidi="fa-IR"/>
        </w:rPr>
        <w:t xml:space="preserve"> از باب تفنن در حوزه گفتاری باشد.</w:t>
      </w:r>
    </w:p>
    <w:p w:rsidR="00A564C0" w:rsidRPr="009D0F43" w:rsidRDefault="007A64AA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مستند موارد مورد وفاق</w:t>
      </w:r>
    </w:p>
    <w:p w:rsidR="007A64AA" w:rsidRPr="009D0F43" w:rsidRDefault="007A64AA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اما باید دید مستند مواردی که هم عامه و هم خاصه در آن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دارند چیست؟</w:t>
      </w:r>
    </w:p>
    <w:p w:rsidR="00C77D66" w:rsidRPr="009D0F43" w:rsidRDefault="006E326B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lastRenderedPageBreak/>
        <w:t xml:space="preserve">روایت </w:t>
      </w:r>
      <w:r w:rsidR="00C77D66" w:rsidRPr="009D0F43">
        <w:rPr>
          <w:rFonts w:ascii="IRBadr" w:hAnsi="IRBadr" w:cs="IRBadr"/>
          <w:rtl/>
        </w:rPr>
        <w:t>اول</w:t>
      </w:r>
    </w:p>
    <w:p w:rsidR="007A64AA" w:rsidRPr="009D0F43" w:rsidRDefault="007A64AA" w:rsidP="00FB361E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9D0F43">
        <w:rPr>
          <w:rFonts w:ascii="IRBadr" w:hAnsi="IRBadr" w:cs="IRBadr"/>
          <w:sz w:val="28"/>
          <w:szCs w:val="28"/>
          <w:rtl/>
        </w:rPr>
        <w:t xml:space="preserve">روایت اول که روایتی معتبر است در آن </w:t>
      </w:r>
      <w:r w:rsidR="00F276D2">
        <w:rPr>
          <w:rFonts w:ascii="IRBadr" w:hAnsi="IRBadr" w:cs="IRBadr"/>
          <w:sz w:val="28"/>
          <w:szCs w:val="28"/>
          <w:rtl/>
        </w:rPr>
        <w:t>گفته‌شده</w:t>
      </w:r>
      <w:r w:rsidRPr="009D0F43">
        <w:rPr>
          <w:rFonts w:ascii="IRBadr" w:hAnsi="IRBadr" w:cs="IRBadr"/>
          <w:sz w:val="28"/>
          <w:szCs w:val="28"/>
          <w:rtl/>
        </w:rPr>
        <w:t xml:space="preserve"> است؛</w:t>
      </w:r>
    </w:p>
    <w:p w:rsidR="00C77D66" w:rsidRPr="009D0F43" w:rsidRDefault="00C77D66" w:rsidP="00FB361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«مُحَمَّدٍ عَنْ عَلِ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عَنْ أَبَانٍ عَنْ زُرَارَةَ عَنْ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ضْرَبُ الرَّجُلُ الْحَدَّ قَائِماً وَ الْمَرْأَةُ قَاعِدَةً وَ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عَلَ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لِّ عُضْوٍ وَ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تْرَ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الرَّأْسُ وَ الْمَذَا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رُ.» </w:t>
      </w:r>
      <w:r w:rsidR="00FB361E" w:rsidRPr="009D0F4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7A64AA" w:rsidRPr="009D0F43" w:rsidRDefault="007A64AA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که در اینجا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رأس و عورت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ب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روایت در ابواب حد زنا،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یازدهم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A64AA" w:rsidRPr="009D0F43" w:rsidRDefault="007A64AA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روایت دوم</w:t>
      </w:r>
    </w:p>
    <w:p w:rsidR="007A64AA" w:rsidRPr="009D0F43" w:rsidRDefault="007A64AA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روایت ششم همین باب نیز شاهد روایت دیگری در همین جایگاه است؛</w:t>
      </w:r>
    </w:p>
    <w:p w:rsidR="006E326B" w:rsidRPr="009D0F43" w:rsidRDefault="006E326B" w:rsidP="00FB361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عَنْ حَمَّادٍ عَنْ حَرِ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زٍ عَمَّنْ أَخْبَرَهُ عَنْ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أَنَّهُ قَالَ: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فَرَّقُ الْحَدُّ عَلَ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الْجَسَدِ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لِّهِ وَ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تَّقَ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الْفَرْجُ وَ الْوَجْهُ وَ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بَ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الضَّرْبَ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نِ.»</w:t>
      </w:r>
      <w:r w:rsidR="00FB361E" w:rsidRPr="009D0F4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7A64AA" w:rsidRPr="009D0F43" w:rsidRDefault="007A64AA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این روایت مرسله است و تنها فرج و وجه در آن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اشاره‌ا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به رأس نشده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هشتمی نیز در این باب وجود دارد که از اعتبار چندانی برخوردار نیست که معمول این روایات دارای اطلاقی خاص در این زمینه است.</w:t>
      </w:r>
    </w:p>
    <w:p w:rsidR="007A64AA" w:rsidRPr="009D0F43" w:rsidRDefault="007A64AA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روایت سوم</w:t>
      </w:r>
    </w:p>
    <w:p w:rsidR="007A64AA" w:rsidRPr="009D0F43" w:rsidRDefault="007A64AA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این روایت در باب چهارده از ابواب</w:t>
      </w:r>
      <w:r w:rsidR="00882665" w:rsidRPr="009D0F43">
        <w:rPr>
          <w:rFonts w:ascii="IRBadr" w:hAnsi="IRBadr" w:cs="IRBadr"/>
          <w:sz w:val="28"/>
          <w:szCs w:val="28"/>
          <w:rtl/>
          <w:lang w:bidi="fa-IR"/>
        </w:rPr>
        <w:t xml:space="preserve"> حد زنا و حدیث ششم است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2665" w:rsidRPr="009D0F43">
        <w:rPr>
          <w:rFonts w:ascii="IRBadr" w:hAnsi="IRBadr" w:cs="IRBadr"/>
          <w:sz w:val="28"/>
          <w:szCs w:val="28"/>
          <w:rtl/>
          <w:lang w:bidi="fa-IR"/>
        </w:rPr>
        <w:t>که شاید معتبر باشد چراکه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2665" w:rsidRPr="009D0F43">
        <w:rPr>
          <w:rFonts w:ascii="IRBadr" w:hAnsi="IRBadr" w:cs="IRBadr"/>
          <w:sz w:val="28"/>
          <w:szCs w:val="28"/>
          <w:rtl/>
          <w:lang w:bidi="fa-IR"/>
        </w:rPr>
        <w:t>تنها در علی بن سندی تردید وجود دارد و بقیه رجال واقع در سند از اعتبار برخوردارند.</w:t>
      </w:r>
    </w:p>
    <w:p w:rsidR="006E326B" w:rsidRPr="009D0F43" w:rsidRDefault="006E326B" w:rsidP="00FB361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«الصَّفَّارُ عَنِ السِّنْدِ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الرَّبِ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عِ عَنْ عَلِ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أَحْمَدَ بْنِ مُحَمَّدِ بْنِ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نَصْرٍ عَنْ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جَمِ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بْنِ دَرَّاجٍ عَنْ مُحَمَّدِ بْنِ مُسْلِمٍ عَنْ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الَّذِ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جِبُ عَلَ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الرَّجْمُ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رْجَمُ مِنْ وَرَائِهِ وَ لَا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رْجَمُ مِنْ وَجْهِهِ لِأَنَّ الرَّجْمَ وَ الضَّرْبَ لَا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بَانِ الْوَجْهَ وَ إِنَّمَا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ضْرَبَانِ عَلَ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الْجَسَدِ عَلَ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الْأَعْضَاءِ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لِّهَا.»</w:t>
      </w:r>
      <w:r w:rsidR="00FB361E" w:rsidRPr="009D0F4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882665" w:rsidRPr="009D0F43" w:rsidRDefault="00882665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برخی در اینجا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از این روایت القای خصوصیت نمود.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با قرائنی که در اینجا وجود دارد رأس ام از رأس است و آن را دربر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2665" w:rsidRPr="009D0F43" w:rsidRDefault="00882665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قیام یا قعود در حال حد</w:t>
      </w:r>
    </w:p>
    <w:p w:rsidR="00882665" w:rsidRPr="009D0F43" w:rsidRDefault="00882665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این سؤال مطرح شد که آیا باید فرد در هنگام حد ایستاده یا نشسته باشد؟</w:t>
      </w:r>
    </w:p>
    <w:p w:rsidR="00882665" w:rsidRPr="009D0F43" w:rsidRDefault="00882665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مستند بحث</w:t>
      </w:r>
    </w:p>
    <w:p w:rsidR="00882665" w:rsidRPr="009D0F43" w:rsidRDefault="00882665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در روایت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ب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یان‌شده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 که مرد باید ایستاده و زن باید نشسته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مورداجرا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حد قرار بگیرند.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تقریباً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این فرع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میان فقها وجود دارد.</w:t>
      </w:r>
    </w:p>
    <w:p w:rsidR="00882665" w:rsidRPr="009D0F43" w:rsidRDefault="00882665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شدت ضرب</w:t>
      </w:r>
    </w:p>
    <w:p w:rsidR="00882665" w:rsidRPr="009D0F43" w:rsidRDefault="00882665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سؤال مهم دیگری که در این باب مطرح است،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بوده که ضرب باید با شدت وارد شود یا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شدید نباشد؟</w:t>
      </w:r>
    </w:p>
    <w:p w:rsidR="00882665" w:rsidRPr="009D0F43" w:rsidRDefault="00882665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روایات متعددی وجود دارد که باید ضرب به نحو شدیدی در باب زنا اجرا شود،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روایتی ضعیف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ین‌بین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وجود دارد که قائل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به حد تعادل در اجرای حد،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به‌نحو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نه شدید و نه آهسته صورت پذیرد.</w:t>
      </w:r>
    </w:p>
    <w:p w:rsidR="00882665" w:rsidRPr="009D0F43" w:rsidRDefault="00882665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روایت اول</w:t>
      </w:r>
    </w:p>
    <w:p w:rsidR="006E326B" w:rsidRPr="009D0F43" w:rsidRDefault="00882665" w:rsidP="00FB361E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sz w:val="28"/>
          <w:szCs w:val="28"/>
          <w:rtl/>
        </w:rPr>
        <w:t xml:space="preserve">روایت دوم از همین باب از روایاتی است که شدت ضرب را تقویت </w:t>
      </w:r>
      <w:r w:rsidR="00FB361E" w:rsidRPr="009D0F43">
        <w:rPr>
          <w:rFonts w:ascii="IRBadr" w:hAnsi="IRBadr" w:cs="IRBadr"/>
          <w:sz w:val="28"/>
          <w:szCs w:val="28"/>
          <w:rtl/>
        </w:rPr>
        <w:t>می‌کند</w:t>
      </w:r>
      <w:r w:rsidRPr="009D0F43">
        <w:rPr>
          <w:rFonts w:ascii="IRBadr" w:hAnsi="IRBadr" w:cs="IRBadr"/>
          <w:sz w:val="28"/>
          <w:szCs w:val="28"/>
          <w:rtl/>
        </w:rPr>
        <w:t xml:space="preserve">. روایت چهارم نیز در همین رابطه </w:t>
      </w:r>
      <w:r w:rsidR="00F276D2">
        <w:rPr>
          <w:rFonts w:ascii="IRBadr" w:hAnsi="IRBadr" w:cs="IRBadr"/>
          <w:sz w:val="28"/>
          <w:szCs w:val="28"/>
          <w:rtl/>
        </w:rPr>
        <w:t>واردشده</w:t>
      </w:r>
      <w:r w:rsidRPr="009D0F43">
        <w:rPr>
          <w:rFonts w:ascii="IRBadr" w:hAnsi="IRBadr" w:cs="IRBadr"/>
          <w:sz w:val="28"/>
          <w:szCs w:val="28"/>
          <w:rtl/>
        </w:rPr>
        <w:t xml:space="preserve"> است که روایتی معتبر است؛</w:t>
      </w:r>
    </w:p>
    <w:p w:rsidR="006E326B" w:rsidRPr="009D0F43" w:rsidRDefault="006E326B" w:rsidP="00FB361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فِ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رِوَا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 سَمَاعَةَ عَنْ أَبِ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حَدُّ الزَّانِ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أَشَدِّ مَا </w:t>
      </w:r>
      <w:r w:rsidR="00FB361E"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 مِنَ الْحُدُودِ» </w:t>
      </w:r>
      <w:r w:rsidR="00FB361E" w:rsidRPr="009D0F4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71181D" w:rsidRPr="009D0F43" w:rsidRDefault="00F276D2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71181D" w:rsidRPr="009D0F43">
        <w:rPr>
          <w:rFonts w:ascii="IRBadr" w:hAnsi="IRBadr" w:cs="IRBadr"/>
          <w:sz w:val="28"/>
          <w:szCs w:val="28"/>
          <w:rtl/>
          <w:lang w:bidi="fa-IR"/>
        </w:rPr>
        <w:t xml:space="preserve"> روایت دیگری وجود دارد که اعظم جنایات باید اشد باشد.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1181D" w:rsidRPr="009D0F43">
        <w:rPr>
          <w:rFonts w:ascii="IRBadr" w:hAnsi="IRBadr" w:cs="IRBadr"/>
          <w:sz w:val="28"/>
          <w:szCs w:val="28"/>
          <w:rtl/>
          <w:lang w:bidi="fa-IR"/>
        </w:rPr>
        <w:t xml:space="preserve"> روایت در باب نهم از همین باب است که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71181D" w:rsidRPr="009D0F43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FB361E" w:rsidRPr="009D0F43" w:rsidRDefault="00FB361E" w:rsidP="00FB361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«عَبْدُ اللَّهِ بْنُ جَعْفَرٍ فِی قُرْبِ الْإِسْنَادِ عَنِ السِّنْدِی بْنِ مُحَمَّدٍ عَنْ أَبِی الْبَخْتَرِی عَنْ جَعْفَرٍ عَنْ أَبِیهِ عَنْ عَلِی ع قَالَ: حَدُّ الزَّانِی أَشَدُّ مِنْ حَدِّ الْقَاذِفِ- وَ حَدُّ الشَّارِبِ أَشَدُّ مِنْ حَدِّ الْقَاذِفِ» </w:t>
      </w:r>
      <w:r w:rsidRPr="009D0F43">
        <w:rPr>
          <w:rStyle w:val="FootnoteReference"/>
          <w:rFonts w:ascii="IRBadr" w:hAnsi="IRBadr" w:cs="IRBadr"/>
          <w:b/>
          <w:bCs/>
          <w:color w:val="000000" w:themeColor="text1"/>
          <w:sz w:val="20"/>
          <w:szCs w:val="20"/>
          <w:rtl/>
        </w:rPr>
        <w:footnoteReference w:id="6"/>
      </w:r>
    </w:p>
    <w:p w:rsidR="0071181D" w:rsidRPr="009D0F43" w:rsidRDefault="0071181D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روایات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قائل به اشد ضرب شده است و فقها از روایت ضربه معتدله اعراض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مطلب علاوه بر روایات توسط آیه سوره نور نیز تقویت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در آنجا که فرموده شده است؛</w:t>
      </w:r>
    </w:p>
    <w:p w:rsidR="00FB361E" w:rsidRPr="009D0F43" w:rsidRDefault="00FB361E" w:rsidP="00FB361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لا تَأْخُذْکمْ بِهِما رَأْفَةٌ فِی دِینِ اللّهِ»</w:t>
      </w:r>
      <w:r w:rsidRPr="009D0F43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71181D" w:rsidRPr="009D0F43" w:rsidRDefault="0071181D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که در این زمینه نباید شفقت و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مهربان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ی‌ای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وجود داشته باشد.</w:t>
      </w:r>
    </w:p>
    <w:p w:rsidR="0071181D" w:rsidRPr="009D0F43" w:rsidRDefault="0071181D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موت مجرم در حین حد</w:t>
      </w:r>
    </w:p>
    <w:p w:rsidR="0071181D" w:rsidRPr="009D0F43" w:rsidRDefault="0071181D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این آخرین فرعی است که حضرت امام آن را مطرح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؛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فرد در زیر اجرای حد جان سپرد آیا لازم است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د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پرداخت شود؟</w:t>
      </w:r>
    </w:p>
    <w:p w:rsidR="0071181D" w:rsidRPr="009D0F43" w:rsidRDefault="0071181D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صور بحث</w:t>
      </w:r>
    </w:p>
    <w:p w:rsidR="0071181D" w:rsidRPr="009D0F43" w:rsidRDefault="0071181D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در اینجا دو صورت وجود دارد؛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حالت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اول این است که فرد در اجرای حد دچار افراط شده است،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صورت به دلیل وجود تقصیر،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نیست که قائل به لزوم دیه و وجود ضمان شویم. صورت دوم این است که مجری تنها تکلیف شرعی خود را انجام داده است.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این مورد حکم این است که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د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</w:p>
    <w:p w:rsidR="0071181D" w:rsidRPr="009D0F43" w:rsidRDefault="0071181D" w:rsidP="00FB361E">
      <w:pPr>
        <w:pStyle w:val="Heading4"/>
        <w:ind w:firstLine="0"/>
        <w:rPr>
          <w:rFonts w:ascii="IRBadr" w:hAnsi="IRBadr" w:cs="IRBadr"/>
          <w:rtl/>
        </w:rPr>
      </w:pPr>
      <w:r w:rsidRPr="009D0F43">
        <w:rPr>
          <w:rFonts w:ascii="IRBadr" w:hAnsi="IRBadr" w:cs="IRBadr"/>
          <w:rtl/>
        </w:rPr>
        <w:t>فرض عدم تقصیر مجری</w:t>
      </w:r>
    </w:p>
    <w:p w:rsidR="0071181D" w:rsidRPr="009D0F43" w:rsidRDefault="0071181D" w:rsidP="00FB361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D0F43">
        <w:rPr>
          <w:rFonts w:ascii="IRBadr" w:hAnsi="IRBadr" w:cs="IRBadr"/>
          <w:sz w:val="28"/>
          <w:szCs w:val="28"/>
          <w:rtl/>
          <w:lang w:bidi="fa-IR"/>
        </w:rPr>
        <w:t>در فرضی که مجری تنها تکلیف شرعی خود را انجام داده لکن مجرم،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بافاصله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زمانی یا بلافاصله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جان‌باخته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قول وجود دارد؛ قولی قائل به ضمان مطلق است که این قول نادری است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و مرحوم خوانساری در جامع المدارک قائل به این قول 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>.</w:t>
      </w:r>
      <w:r w:rsidR="00FB361E" w:rsidRPr="009D0F43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دوم قائل به عدم ضمان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مطلق است. قول سوم میان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9D0F43">
        <w:rPr>
          <w:rFonts w:ascii="IRBadr" w:hAnsi="IRBadr" w:cs="IRBadr"/>
          <w:sz w:val="28"/>
          <w:szCs w:val="28"/>
          <w:rtl/>
          <w:lang w:bidi="fa-IR"/>
        </w:rPr>
        <w:t xml:space="preserve"> تفصیل قائل شده است و </w:t>
      </w:r>
      <w:r w:rsidR="00C079B3" w:rsidRPr="009D0F43">
        <w:rPr>
          <w:rFonts w:ascii="IRBadr" w:hAnsi="IRBadr" w:cs="IRBadr"/>
          <w:sz w:val="28"/>
          <w:szCs w:val="28"/>
          <w:rtl/>
          <w:lang w:bidi="fa-IR"/>
        </w:rPr>
        <w:t xml:space="preserve">قول چهارم تفصیل </w:t>
      </w:r>
      <w:r w:rsidR="00F276D2">
        <w:rPr>
          <w:rFonts w:ascii="IRBadr" w:hAnsi="IRBadr" w:cs="IRBadr"/>
          <w:sz w:val="28"/>
          <w:szCs w:val="28"/>
          <w:rtl/>
          <w:lang w:bidi="fa-IR"/>
        </w:rPr>
        <w:t>درزم</w:t>
      </w:r>
      <w:r w:rsidR="00F276D2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="00C079B3" w:rsidRPr="009D0F43">
        <w:rPr>
          <w:rFonts w:ascii="IRBadr" w:hAnsi="IRBadr" w:cs="IRBadr"/>
          <w:sz w:val="28"/>
          <w:szCs w:val="28"/>
          <w:rtl/>
          <w:lang w:bidi="fa-IR"/>
        </w:rPr>
        <w:t xml:space="preserve"> دیگری است.</w:t>
      </w:r>
    </w:p>
    <w:p w:rsidR="00152670" w:rsidRPr="009D0F43" w:rsidRDefault="00152670" w:rsidP="00FB361E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9D0F4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79" w:rsidRDefault="00690779" w:rsidP="000D5800">
      <w:pPr>
        <w:spacing w:after="0" w:line="240" w:lineRule="auto"/>
      </w:pPr>
      <w:r>
        <w:separator/>
      </w:r>
    </w:p>
  </w:endnote>
  <w:endnote w:type="continuationSeparator" w:id="0">
    <w:p w:rsidR="00690779" w:rsidRDefault="0069077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79" w:rsidRDefault="00690779" w:rsidP="009D0F43">
      <w:pPr>
        <w:bidi/>
        <w:spacing w:after="0" w:line="240" w:lineRule="auto"/>
      </w:pPr>
      <w:r>
        <w:separator/>
      </w:r>
    </w:p>
  </w:footnote>
  <w:footnote w:type="continuationSeparator" w:id="0">
    <w:p w:rsidR="00690779" w:rsidRDefault="00690779" w:rsidP="000D5800">
      <w:pPr>
        <w:spacing w:after="0" w:line="240" w:lineRule="auto"/>
      </w:pPr>
      <w:r>
        <w:continuationSeparator/>
      </w:r>
    </w:p>
  </w:footnote>
  <w:footnote w:id="1">
    <w:p w:rsidR="00C77D66" w:rsidRDefault="00C77D6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نور/2</w:t>
      </w:r>
    </w:p>
  </w:footnote>
  <w:footnote w:id="2">
    <w:p w:rsidR="00FB361E" w:rsidRDefault="00FB36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وسائل الش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عة؛ </w:t>
      </w:r>
      <w:r>
        <w:rPr>
          <w:rFonts w:ascii="Noor_Titr" w:hAnsi="Noor_Titr" w:cs="B Badr"/>
          <w:b/>
          <w:bCs/>
          <w:color w:val="000000" w:themeColor="text1"/>
          <w:rtl/>
        </w:rPr>
        <w:t>ج 28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، ص: 92</w:t>
      </w:r>
    </w:p>
  </w:footnote>
  <w:footnote w:id="3">
    <w:p w:rsidR="00FB361E" w:rsidRDefault="00FB361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تهذ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ب الأح</w:t>
      </w:r>
      <w:r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ام؛ </w:t>
      </w:r>
      <w:r>
        <w:rPr>
          <w:rFonts w:ascii="Noor_Titr" w:hAnsi="Noor_Titr" w:cs="B Badr"/>
          <w:b/>
          <w:bCs/>
          <w:color w:val="000000" w:themeColor="text1"/>
          <w:rtl/>
        </w:rPr>
        <w:t>ج 10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، ص: 31</w:t>
      </w:r>
    </w:p>
  </w:footnote>
  <w:footnote w:id="4">
    <w:p w:rsidR="00FB361E" w:rsidRDefault="00FB361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تهذ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ب الأح</w:t>
      </w:r>
      <w:r>
        <w:rPr>
          <w:rFonts w:ascii="Noor_Titr" w:hAnsi="Noor_Titr" w:cs="B Badr" w:hint="cs"/>
          <w:b/>
          <w:bCs/>
          <w:color w:val="000000" w:themeColor="text1"/>
          <w:rtl/>
        </w:rPr>
        <w:t>ک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ام؛ </w:t>
      </w:r>
      <w:r>
        <w:rPr>
          <w:rFonts w:ascii="Noor_Titr" w:hAnsi="Noor_Titr" w:cs="B Badr"/>
          <w:b/>
          <w:bCs/>
          <w:color w:val="000000" w:themeColor="text1"/>
          <w:rtl/>
        </w:rPr>
        <w:t>ج 10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، ص: 51</w:t>
      </w:r>
    </w:p>
  </w:footnote>
  <w:footnote w:id="5">
    <w:p w:rsidR="00FB361E" w:rsidRDefault="00FB36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من لا 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حضره الفق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ه؛ </w:t>
      </w:r>
      <w:r>
        <w:rPr>
          <w:rFonts w:ascii="Noor_Titr" w:hAnsi="Noor_Titr" w:cs="B Badr"/>
          <w:b/>
          <w:bCs/>
          <w:color w:val="000000" w:themeColor="text1"/>
          <w:rtl/>
        </w:rPr>
        <w:t>ج 4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، ص: 29</w:t>
      </w:r>
    </w:p>
  </w:footnote>
  <w:footnote w:id="6">
    <w:p w:rsidR="00FB361E" w:rsidRDefault="00FB361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وسائل الش</w:t>
      </w:r>
      <w:r>
        <w:rPr>
          <w:rFonts w:ascii="Noor_Titr" w:hAnsi="Noor_Titr" w:cs="B Badr" w:hint="cs"/>
          <w:b/>
          <w:bCs/>
          <w:color w:val="000000" w:themeColor="text1"/>
          <w:rtl/>
        </w:rPr>
        <w:t>ی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 xml:space="preserve">عة؛ </w:t>
      </w:r>
      <w:r>
        <w:rPr>
          <w:rFonts w:ascii="Noor_Titr" w:hAnsi="Noor_Titr" w:cs="B Badr"/>
          <w:b/>
          <w:bCs/>
          <w:color w:val="000000" w:themeColor="text1"/>
          <w:rtl/>
        </w:rPr>
        <w:t>ج 28</w:t>
      </w:r>
      <w:r w:rsidRPr="00FB361E">
        <w:rPr>
          <w:rFonts w:ascii="Noor_Titr" w:hAnsi="Noor_Titr" w:cs="B Badr" w:hint="cs"/>
          <w:b/>
          <w:bCs/>
          <w:color w:val="000000" w:themeColor="text1"/>
          <w:rtl/>
        </w:rPr>
        <w:t>، ص: 94</w:t>
      </w:r>
    </w:p>
  </w:footnote>
  <w:footnote w:id="7">
    <w:p w:rsidR="00FB361E" w:rsidRDefault="00FB36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نور/2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C491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7F3DF6" wp14:editId="7678D7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E0D8F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14FF1149" wp14:editId="1846CDB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FB361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C4912">
      <w:rPr>
        <w:rFonts w:ascii="IranNastaliq" w:hAnsi="IranNastaliq" w:cs="IranNastaliq" w:hint="cs"/>
        <w:sz w:val="40"/>
        <w:szCs w:val="40"/>
        <w:rtl/>
      </w:rPr>
      <w:t>772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3"/>
    <w:rsid w:val="000075C7"/>
    <w:rsid w:val="000228A2"/>
    <w:rsid w:val="000324F1"/>
    <w:rsid w:val="00041FE0"/>
    <w:rsid w:val="00052BA3"/>
    <w:rsid w:val="0006363E"/>
    <w:rsid w:val="000776ED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6034"/>
    <w:rsid w:val="00297263"/>
    <w:rsid w:val="002C56FD"/>
    <w:rsid w:val="002D49E4"/>
    <w:rsid w:val="002E450B"/>
    <w:rsid w:val="002E73F9"/>
    <w:rsid w:val="002F05B9"/>
    <w:rsid w:val="00302A58"/>
    <w:rsid w:val="00302DBA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08C7"/>
    <w:rsid w:val="00405199"/>
    <w:rsid w:val="00410699"/>
    <w:rsid w:val="00415360"/>
    <w:rsid w:val="004343F3"/>
    <w:rsid w:val="0044591E"/>
    <w:rsid w:val="00457CBA"/>
    <w:rsid w:val="00460004"/>
    <w:rsid w:val="004651D2"/>
    <w:rsid w:val="00465D26"/>
    <w:rsid w:val="004679F8"/>
    <w:rsid w:val="004B337F"/>
    <w:rsid w:val="004C3D99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0779"/>
    <w:rsid w:val="0069696C"/>
    <w:rsid w:val="006A085A"/>
    <w:rsid w:val="006D3A87"/>
    <w:rsid w:val="006E326B"/>
    <w:rsid w:val="006F01B4"/>
    <w:rsid w:val="0071181D"/>
    <w:rsid w:val="00717A84"/>
    <w:rsid w:val="007344F1"/>
    <w:rsid w:val="00734D59"/>
    <w:rsid w:val="0073609B"/>
    <w:rsid w:val="00747D56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64AA"/>
    <w:rsid w:val="007B6FEB"/>
    <w:rsid w:val="007C1EF7"/>
    <w:rsid w:val="007C25D4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2665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44677"/>
    <w:rsid w:val="009613AC"/>
    <w:rsid w:val="00980643"/>
    <w:rsid w:val="009B46BC"/>
    <w:rsid w:val="009B4FEF"/>
    <w:rsid w:val="009B61C3"/>
    <w:rsid w:val="009C7B4F"/>
    <w:rsid w:val="009D0F43"/>
    <w:rsid w:val="009F4EB3"/>
    <w:rsid w:val="00A06D48"/>
    <w:rsid w:val="00A21834"/>
    <w:rsid w:val="00A31C17"/>
    <w:rsid w:val="00A31FDE"/>
    <w:rsid w:val="00A35AC2"/>
    <w:rsid w:val="00A37C77"/>
    <w:rsid w:val="00A5418D"/>
    <w:rsid w:val="00A564C0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079B3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77D66"/>
    <w:rsid w:val="00C84FC0"/>
    <w:rsid w:val="00C9244A"/>
    <w:rsid w:val="00CB5DA3"/>
    <w:rsid w:val="00CE31E6"/>
    <w:rsid w:val="00CE3B74"/>
    <w:rsid w:val="00CF3E29"/>
    <w:rsid w:val="00CF42E2"/>
    <w:rsid w:val="00CF7916"/>
    <w:rsid w:val="00D158F3"/>
    <w:rsid w:val="00D3665C"/>
    <w:rsid w:val="00D508CC"/>
    <w:rsid w:val="00D50F4B"/>
    <w:rsid w:val="00D60547"/>
    <w:rsid w:val="00D60F3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554C"/>
    <w:rsid w:val="00E52457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4912"/>
    <w:rsid w:val="00EE1C07"/>
    <w:rsid w:val="00EE2C91"/>
    <w:rsid w:val="00EE3979"/>
    <w:rsid w:val="00EF138C"/>
    <w:rsid w:val="00F034CE"/>
    <w:rsid w:val="00F10A0F"/>
    <w:rsid w:val="00F276D2"/>
    <w:rsid w:val="00F40284"/>
    <w:rsid w:val="00F67976"/>
    <w:rsid w:val="00F70BE1"/>
    <w:rsid w:val="00FB361E"/>
    <w:rsid w:val="00FB78A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B78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77D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B78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77D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3FD0-99E9-46A9-AECA-987EDC8B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366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22</cp:revision>
  <dcterms:created xsi:type="dcterms:W3CDTF">2014-12-20T09:56:00Z</dcterms:created>
  <dcterms:modified xsi:type="dcterms:W3CDTF">2015-08-13T07:04:00Z</dcterms:modified>
</cp:coreProperties>
</file>