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62" w:rsidRPr="00DA123D" w:rsidRDefault="00A907F8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DA123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73E62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D73E62" w:rsidRPr="00DA123D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9D39B4" w:rsidRPr="00DA123D" w:rsidRDefault="009D39B4" w:rsidP="009D39B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D39B4" w:rsidRPr="00DA123D" w:rsidRDefault="009D39B4" w:rsidP="009D39B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DA123D">
        <w:rPr>
          <w:rFonts w:ascii="IRBadr" w:hAnsi="IRBadr" w:cs="IRBadr"/>
          <w:sz w:val="28"/>
          <w:rtl/>
        </w:rPr>
        <w:fldChar w:fldCharType="begin"/>
      </w:r>
      <w:r w:rsidRPr="00DA123D">
        <w:rPr>
          <w:rFonts w:ascii="IRBadr" w:hAnsi="IRBadr" w:cs="IRBadr"/>
          <w:sz w:val="28"/>
          <w:rtl/>
        </w:rPr>
        <w:instrText xml:space="preserve"> </w:instrText>
      </w:r>
      <w:r w:rsidRPr="00DA123D">
        <w:rPr>
          <w:rFonts w:ascii="IRBadr" w:hAnsi="IRBadr" w:cs="IRBadr"/>
          <w:sz w:val="28"/>
        </w:rPr>
        <w:instrText>TOC</w:instrText>
      </w:r>
      <w:r w:rsidRPr="00DA123D">
        <w:rPr>
          <w:rFonts w:ascii="IRBadr" w:hAnsi="IRBadr" w:cs="IRBadr"/>
          <w:sz w:val="28"/>
          <w:rtl/>
        </w:rPr>
        <w:instrText xml:space="preserve"> \</w:instrText>
      </w:r>
      <w:r w:rsidRPr="00DA123D">
        <w:rPr>
          <w:rFonts w:ascii="IRBadr" w:hAnsi="IRBadr" w:cs="IRBadr"/>
          <w:sz w:val="28"/>
        </w:rPr>
        <w:instrText>o "</w:instrText>
      </w:r>
      <w:r w:rsidRPr="00DA123D">
        <w:rPr>
          <w:rFonts w:ascii="IRBadr" w:hAnsi="IRBadr" w:cs="IRBadr"/>
          <w:sz w:val="28"/>
          <w:rtl/>
        </w:rPr>
        <w:instrText>1-4</w:instrText>
      </w:r>
      <w:r w:rsidRPr="00DA123D">
        <w:rPr>
          <w:rFonts w:ascii="IRBadr" w:hAnsi="IRBadr" w:cs="IRBadr"/>
          <w:sz w:val="28"/>
        </w:rPr>
        <w:instrText>" \h \z \u</w:instrText>
      </w:r>
      <w:r w:rsidRPr="00DA123D">
        <w:rPr>
          <w:rFonts w:ascii="IRBadr" w:hAnsi="IRBadr" w:cs="IRBadr"/>
          <w:sz w:val="28"/>
          <w:rtl/>
        </w:rPr>
        <w:instrText xml:space="preserve"> </w:instrText>
      </w:r>
      <w:r w:rsidRPr="00DA123D">
        <w:rPr>
          <w:rFonts w:ascii="IRBadr" w:hAnsi="IRBadr" w:cs="IRBadr"/>
          <w:sz w:val="28"/>
          <w:rtl/>
        </w:rPr>
        <w:fldChar w:fldCharType="separate"/>
      </w:r>
      <w:hyperlink w:anchor="_Toc425932899" w:history="1">
        <w:r w:rsidRPr="00DA123D">
          <w:rPr>
            <w:rStyle w:val="Hyperlink"/>
            <w:rFonts w:ascii="IRBadr" w:hAnsi="IRBadr" w:cs="IRBadr"/>
            <w:noProof/>
            <w:rtl/>
          </w:rPr>
          <w:t>مرگ مجرم در حین حد</w:t>
        </w:r>
        <w:r w:rsidRPr="00DA123D">
          <w:rPr>
            <w:rFonts w:ascii="IRBadr" w:hAnsi="IRBadr" w:cs="IRBadr"/>
            <w:noProof/>
            <w:webHidden/>
          </w:rPr>
          <w:tab/>
        </w:r>
        <w:r w:rsidRPr="00DA123D">
          <w:rPr>
            <w:rFonts w:ascii="IRBadr" w:hAnsi="IRBadr" w:cs="IRBadr"/>
            <w:noProof/>
            <w:webHidden/>
          </w:rPr>
          <w:fldChar w:fldCharType="begin"/>
        </w:r>
        <w:r w:rsidRPr="00DA123D">
          <w:rPr>
            <w:rFonts w:ascii="IRBadr" w:hAnsi="IRBadr" w:cs="IRBadr"/>
            <w:noProof/>
            <w:webHidden/>
          </w:rPr>
          <w:instrText xml:space="preserve"> PAGEREF _Toc425932899 \h </w:instrText>
        </w:r>
        <w:r w:rsidRPr="00DA123D">
          <w:rPr>
            <w:rFonts w:ascii="IRBadr" w:hAnsi="IRBadr" w:cs="IRBadr"/>
            <w:noProof/>
            <w:webHidden/>
          </w:rPr>
        </w:r>
        <w:r w:rsidRPr="00DA123D">
          <w:rPr>
            <w:rFonts w:ascii="IRBadr" w:hAnsi="IRBadr" w:cs="IRBadr"/>
            <w:noProof/>
            <w:webHidden/>
          </w:rPr>
          <w:fldChar w:fldCharType="separate"/>
        </w:r>
        <w:r w:rsidRPr="00DA123D">
          <w:rPr>
            <w:rFonts w:ascii="IRBadr" w:hAnsi="IRBadr" w:cs="IRBadr"/>
            <w:noProof/>
            <w:webHidden/>
          </w:rPr>
          <w:t>2</w:t>
        </w:r>
        <w:r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2900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_Toc425932900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2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2901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مراد از مجری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_Toc425932901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2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2902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مرور بر اقوال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_Toc425932902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2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03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مستند قول اول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_Toc425932903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3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2904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روایت اول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_Toc425932904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3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2905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روایت دوم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_Toc425932905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3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06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_Toc425932906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4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07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جمع بندی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_Toc425932907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4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08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مستند قول دوم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_Toc425932908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4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09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خدشه در وجه فوق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_Toc425932909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5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0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اشکال به خدشه فوق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_Toc425932910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5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1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پاسخ به ادعای مرحوم خوانساری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_Toc425932911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5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2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پاسخ اول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_Toc425932912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5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3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پاسخ دوم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_Toc425932913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5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4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_Toc425932914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5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5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مستند قول سوم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_Toc425932915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6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6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_Toc425932916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6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7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_Toc425932917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6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8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مستند قول چهارم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_Toc425932918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6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19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علت اول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_Toc425932919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6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20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خدشه در علت فوق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_Toc425932920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6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2567A9" w:rsidP="009D39B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2921" w:history="1">
        <w:r w:rsidR="009D39B4" w:rsidRPr="00DA123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D39B4" w:rsidRPr="00DA123D">
          <w:rPr>
            <w:rFonts w:ascii="IRBadr" w:hAnsi="IRBadr" w:cs="IRBadr"/>
            <w:noProof/>
            <w:webHidden/>
          </w:rPr>
          <w:tab/>
        </w:r>
        <w:r w:rsidR="009D39B4" w:rsidRPr="00DA123D">
          <w:rPr>
            <w:rFonts w:ascii="IRBadr" w:hAnsi="IRBadr" w:cs="IRBadr"/>
            <w:noProof/>
            <w:webHidden/>
          </w:rPr>
          <w:fldChar w:fldCharType="begin"/>
        </w:r>
        <w:r w:rsidR="009D39B4" w:rsidRPr="00DA123D">
          <w:rPr>
            <w:rFonts w:ascii="IRBadr" w:hAnsi="IRBadr" w:cs="IRBadr"/>
            <w:noProof/>
            <w:webHidden/>
          </w:rPr>
          <w:instrText xml:space="preserve"> PAGEREF _Toc425932921 \h </w:instrText>
        </w:r>
        <w:r w:rsidR="009D39B4" w:rsidRPr="00DA123D">
          <w:rPr>
            <w:rFonts w:ascii="IRBadr" w:hAnsi="IRBadr" w:cs="IRBadr"/>
            <w:noProof/>
            <w:webHidden/>
          </w:rPr>
        </w:r>
        <w:r w:rsidR="009D39B4" w:rsidRPr="00DA123D">
          <w:rPr>
            <w:rFonts w:ascii="IRBadr" w:hAnsi="IRBadr" w:cs="IRBadr"/>
            <w:noProof/>
            <w:webHidden/>
          </w:rPr>
          <w:fldChar w:fldCharType="separate"/>
        </w:r>
        <w:r w:rsidR="009D39B4" w:rsidRPr="00DA123D">
          <w:rPr>
            <w:rFonts w:ascii="IRBadr" w:hAnsi="IRBadr" w:cs="IRBadr"/>
            <w:noProof/>
            <w:webHidden/>
          </w:rPr>
          <w:t>7</w:t>
        </w:r>
        <w:r w:rsidR="009D39B4" w:rsidRPr="00DA123D">
          <w:rPr>
            <w:rFonts w:ascii="IRBadr" w:hAnsi="IRBadr" w:cs="IRBadr"/>
            <w:noProof/>
            <w:webHidden/>
          </w:rPr>
          <w:fldChar w:fldCharType="end"/>
        </w:r>
      </w:hyperlink>
    </w:p>
    <w:p w:rsidR="009D39B4" w:rsidRPr="00DA123D" w:rsidRDefault="009D39B4" w:rsidP="009D39B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02CFE" w:rsidRPr="00DA123D" w:rsidRDefault="00102CFE" w:rsidP="00BA2CC7">
      <w:pPr>
        <w:pStyle w:val="Heading1"/>
        <w:rPr>
          <w:rFonts w:ascii="IRBadr" w:hAnsi="IRBadr" w:cs="IRBadr"/>
          <w:rtl/>
        </w:rPr>
      </w:pPr>
      <w:bookmarkStart w:id="1" w:name="_Toc425932899"/>
      <w:r w:rsidRPr="00DA123D">
        <w:rPr>
          <w:rFonts w:ascii="IRBadr" w:hAnsi="IRBadr" w:cs="IRBadr"/>
          <w:rtl/>
        </w:rPr>
        <w:lastRenderedPageBreak/>
        <w:t>مرگ مجرم در حین حد</w:t>
      </w:r>
      <w:bookmarkEnd w:id="1"/>
    </w:p>
    <w:p w:rsidR="00102CFE" w:rsidRPr="00DA123D" w:rsidRDefault="00102CFE" w:rsidP="00BA2CC7">
      <w:pPr>
        <w:pStyle w:val="Heading1"/>
        <w:rPr>
          <w:rFonts w:ascii="IRBadr" w:hAnsi="IRBadr" w:cs="IRBadr"/>
          <w:rtl/>
        </w:rPr>
      </w:pPr>
      <w:bookmarkStart w:id="2" w:name="_Toc425932900"/>
      <w:r w:rsidRPr="00DA123D">
        <w:rPr>
          <w:rFonts w:ascii="IRBadr" w:hAnsi="IRBadr" w:cs="IRBadr"/>
          <w:rtl/>
        </w:rPr>
        <w:t>مرور بحث گذشته</w:t>
      </w:r>
      <w:bookmarkEnd w:id="2"/>
    </w:p>
    <w:p w:rsidR="00102CFE" w:rsidRPr="00DA123D" w:rsidRDefault="00102CFE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بحث در این بود که اگر حد مجری موجب مرگ مجرم شود،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مجری در این زمینه ضامن است یا خیر؟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مقدمتا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عرض شد که بحث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 که تقصیری از جانب مجری وجود نداشته است.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مواردی که از روی تقصیر بوده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نیست و در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قصاص نیز ثابت خواهد بود.</w:t>
      </w:r>
    </w:p>
    <w:p w:rsidR="00102CFE" w:rsidRPr="00DA123D" w:rsidRDefault="00102CFE" w:rsidP="009D39B4">
      <w:pPr>
        <w:pStyle w:val="Heading2"/>
        <w:rPr>
          <w:rFonts w:ascii="IRBadr" w:hAnsi="IRBadr" w:cs="IRBadr"/>
          <w:rtl/>
        </w:rPr>
      </w:pPr>
      <w:bookmarkStart w:id="3" w:name="_Toc425932901"/>
      <w:r w:rsidRPr="00DA123D">
        <w:rPr>
          <w:rFonts w:ascii="IRBadr" w:hAnsi="IRBadr" w:cs="IRBadr"/>
          <w:rtl/>
        </w:rPr>
        <w:t>مراد از مجری</w:t>
      </w:r>
      <w:bookmarkEnd w:id="3"/>
    </w:p>
    <w:p w:rsidR="00102CFE" w:rsidRPr="00DA123D" w:rsidRDefault="00102CFE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مشخص است که در اینجا مراد از مجری فردی است که مباشر به انجام حد بوده و قاضی را دربر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فرض بر این است که او وظیفه خود را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به‌درستی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انجام داده است. و موردی که در حکم دهی اشتباهی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رخ‌داده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BA2CC7" w:rsidRPr="00DA123D" w:rsidRDefault="005D4A13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102CFE" w:rsidRPr="00DA123D">
        <w:rPr>
          <w:rFonts w:ascii="IRBadr" w:hAnsi="IRBadr" w:cs="IRBadr"/>
          <w:sz w:val="28"/>
          <w:szCs w:val="28"/>
          <w:rtl/>
          <w:lang w:bidi="fa-IR"/>
        </w:rPr>
        <w:t xml:space="preserve"> نیز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="00102CFE" w:rsidRPr="00DA123D">
        <w:rPr>
          <w:rFonts w:ascii="IRBadr" w:hAnsi="IRBadr" w:cs="IRBadr"/>
          <w:sz w:val="28"/>
          <w:szCs w:val="28"/>
          <w:rtl/>
          <w:lang w:bidi="fa-IR"/>
        </w:rPr>
        <w:t xml:space="preserve"> شد که این بحث تنها مربوط به زنا نیست بلکه موارد دیگر از متعلقات حدود را دربر 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102CFE" w:rsidRPr="00DA123D">
        <w:rPr>
          <w:rFonts w:ascii="IRBadr" w:hAnsi="IRBadr" w:cs="IRBadr"/>
          <w:sz w:val="28"/>
          <w:szCs w:val="28"/>
          <w:rtl/>
          <w:lang w:bidi="fa-IR"/>
        </w:rPr>
        <w:t>.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102CFE" w:rsidRPr="00DA123D">
        <w:rPr>
          <w:rFonts w:ascii="IRBadr" w:hAnsi="IRBadr" w:cs="IRBadr"/>
          <w:sz w:val="28"/>
          <w:szCs w:val="28"/>
          <w:rtl/>
          <w:lang w:bidi="fa-IR"/>
        </w:rPr>
        <w:t xml:space="preserve"> که در بحث سابق یعنی کیفیت ایقاع نیز مطرح شد که بحث فراگیرتر از بحث حدود بوده و تعزیرات را نیز دربر 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102CFE"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A2CC7" w:rsidRPr="00DA123D" w:rsidRDefault="00BA2CC7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2CFE" w:rsidRPr="00DA123D" w:rsidRDefault="00102CFE" w:rsidP="009D39B4">
      <w:pPr>
        <w:pStyle w:val="Heading2"/>
        <w:rPr>
          <w:rFonts w:ascii="IRBadr" w:hAnsi="IRBadr" w:cs="IRBadr"/>
          <w:szCs w:val="28"/>
          <w:rtl/>
        </w:rPr>
      </w:pPr>
      <w:bookmarkStart w:id="4" w:name="_Toc425932902"/>
      <w:r w:rsidRPr="00DA123D">
        <w:rPr>
          <w:rFonts w:ascii="IRBadr" w:hAnsi="IRBadr" w:cs="IRBadr"/>
          <w:rtl/>
        </w:rPr>
        <w:t>مرور بر اقوال</w:t>
      </w:r>
      <w:bookmarkEnd w:id="4"/>
    </w:p>
    <w:p w:rsidR="00102CFE" w:rsidRPr="00DA123D" w:rsidRDefault="00102CFE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گذشت که در این زمین چهار قول وجود دارد؛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به ضمان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که قول مشهور بود.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به عدم ضمان که در جا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ی خود قول نادری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می‌آمد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تفصیل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 بین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 و قول چهارم نیز قائل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 بین حد و تعزیر بود که در حدود الهی دیه نبوده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="00240B7F" w:rsidRPr="00DA123D">
        <w:rPr>
          <w:rFonts w:ascii="IRBadr" w:hAnsi="IRBadr" w:cs="IRBadr"/>
          <w:sz w:val="28"/>
          <w:szCs w:val="28"/>
          <w:rtl/>
          <w:lang w:bidi="fa-IR"/>
        </w:rPr>
        <w:t xml:space="preserve"> تعزیرات که لازم است دیه پرداخت شود.</w:t>
      </w:r>
    </w:p>
    <w:p w:rsidR="00240B7F" w:rsidRPr="00DA123D" w:rsidRDefault="00240B7F" w:rsidP="009D39B4">
      <w:pPr>
        <w:pStyle w:val="Heading3"/>
        <w:rPr>
          <w:rFonts w:ascii="IRBadr" w:hAnsi="IRBadr" w:cs="IRBadr"/>
          <w:rtl/>
        </w:rPr>
      </w:pPr>
      <w:bookmarkStart w:id="5" w:name="_Toc425932903"/>
      <w:r w:rsidRPr="00DA123D">
        <w:rPr>
          <w:rFonts w:ascii="IRBadr" w:hAnsi="IRBadr" w:cs="IRBadr"/>
          <w:rtl/>
        </w:rPr>
        <w:t>مستند قول اول</w:t>
      </w:r>
      <w:bookmarkEnd w:id="5"/>
    </w:p>
    <w:p w:rsidR="00240B7F" w:rsidRPr="00DA123D" w:rsidRDefault="00240B7F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مستند قول اول در جلد نوزده وسائل،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ابواب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قصاص نفس،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بیست و چهارم و صفحه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چهل‌وشش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متعددی در این بخش وجود دارد.</w:t>
      </w:r>
    </w:p>
    <w:p w:rsidR="00240B7F" w:rsidRPr="00DA123D" w:rsidRDefault="00240B7F" w:rsidP="009D39B4">
      <w:pPr>
        <w:pStyle w:val="Heading2"/>
        <w:rPr>
          <w:rFonts w:ascii="IRBadr" w:hAnsi="IRBadr" w:cs="IRBadr"/>
          <w:rtl/>
        </w:rPr>
      </w:pPr>
      <w:bookmarkStart w:id="6" w:name="_Toc425932904"/>
      <w:r w:rsidRPr="00DA123D">
        <w:rPr>
          <w:rFonts w:ascii="IRBadr" w:hAnsi="IRBadr" w:cs="IRBadr"/>
          <w:rtl/>
        </w:rPr>
        <w:lastRenderedPageBreak/>
        <w:t>روایت اول</w:t>
      </w:r>
      <w:bookmarkEnd w:id="6"/>
    </w:p>
    <w:p w:rsidR="00BC42EF" w:rsidRPr="00DA123D" w:rsidRDefault="00BC42EF" w:rsidP="00BA2CC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«محمَّدُ بْنُ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مُحَمَّدٍ عَنْ مُحَمَّدِ بْنِ إِسْمَاعِ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بْنِ بَزِ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عٍ عَنْ مُحَمَّدِ بْنِ الْفُضَ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لِ عَنْ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الصَّبَّاحِ الْ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نَانِ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صِبْ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انٌ فِ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زَمَنِ عَلِ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لْعَبُونَ بِأَخْطَارِهِمْ فَرَمَ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أَحَدُهُمُ الْآخَرَ بِخَطَرِهِ فَدَقَّ رَبَاعِ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صَاحِبِهِ فَرُفِعَ ذَلِ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إِلَ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الْمُؤْمِنِ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فَأَقَامَ الرَّامِ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نَةَ بِأَنَّهُ قَالَ حَذَارِ حَذَارِ فَدَرَأَ عَنْهُ الْقِصَاصَ ثُمَّ قَالَ قَدْ أَعْذَرَ مَنْ حَذَّرَ قَالَ وَ سَأَلْتُهُ عَنْ رَجُلٍ قَتَلَهُ الْقِصَاصُ هَلْ لَهُ 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ةٌ فَقَالَ لَوْ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ذَلِ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لَمْ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قْتَصَّ أَحَدٌ مِنْ أَحَدٍ وَ مَنْ قَتَلَهُ الْحَدُّ فَلَا 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لَهُ.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DA123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40B7F" w:rsidRPr="00DA123D" w:rsidRDefault="00240B7F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آیا پس از حکم حاکم،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فرد در زیر حد جان خود را از دست داد،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 زمینه ضمان و دیه وجود دارد؟ که حضرت پاسخ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قتلی که در زیر اجرای حد صورت گرفته،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مشمول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دیه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حدیث فوق حدیث معتبری است.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سند دیگری که در ذیل این حدیث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بی‌اشکال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سوم در این باب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مربوط به بحث قصاص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ارتباط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چندانی با این بحث پیدا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40B7F" w:rsidRPr="00DA123D" w:rsidRDefault="00240B7F" w:rsidP="009D39B4">
      <w:pPr>
        <w:pStyle w:val="Heading2"/>
        <w:rPr>
          <w:rFonts w:ascii="IRBadr" w:hAnsi="IRBadr" w:cs="IRBadr"/>
          <w:rtl/>
        </w:rPr>
      </w:pPr>
      <w:bookmarkStart w:id="7" w:name="_Toc425932905"/>
      <w:r w:rsidRPr="00DA123D">
        <w:rPr>
          <w:rFonts w:ascii="IRBadr" w:hAnsi="IRBadr" w:cs="IRBadr"/>
          <w:rtl/>
        </w:rPr>
        <w:t>روایت دوم</w:t>
      </w:r>
      <w:bookmarkEnd w:id="7"/>
    </w:p>
    <w:p w:rsidR="00240B7F" w:rsidRPr="00DA123D" w:rsidRDefault="00240B7F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روایت سوم در این باب که مربوط به این باب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بدین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شرح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BC42EF" w:rsidRPr="00DA123D" w:rsidRDefault="00BC42EF" w:rsidP="00BA2CC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«جَعْفَرُ بْنُ بَشِ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مُعَلَّ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عُثْمَانَ عَنْ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لَا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قْتَلُ حُرٌّ بِعَبْدٍ فَإِذَا قَتَلَ الْحُرُّ الْعَبْدَ غُرِّمَ ثَمَنَهُ وَ ضُرِبَ ضَرْباً شَدِ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داً وَ مَنْ قَتَلَهُ الْقِصَاصُ أَوِ الْحَدُّ لَمْ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لَهُ 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ةٌ.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DA123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240B7F" w:rsidRPr="00DA123D" w:rsidRDefault="00240B7F" w:rsidP="009D39B4">
      <w:pPr>
        <w:pStyle w:val="Heading3"/>
        <w:rPr>
          <w:rFonts w:ascii="IRBadr" w:hAnsi="IRBadr" w:cs="IRBadr"/>
          <w:rtl/>
        </w:rPr>
      </w:pPr>
      <w:bookmarkStart w:id="8" w:name="_Toc425932906"/>
      <w:r w:rsidRPr="00DA123D">
        <w:rPr>
          <w:rFonts w:ascii="IRBadr" w:hAnsi="IRBadr" w:cs="IRBadr"/>
          <w:rtl/>
        </w:rPr>
        <w:t>بررسی روایت</w:t>
      </w:r>
      <w:bookmarkEnd w:id="8"/>
    </w:p>
    <w:p w:rsidR="00BA2CC7" w:rsidRPr="00DA123D" w:rsidRDefault="00240B7F" w:rsidP="00BA2CC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A123D">
        <w:rPr>
          <w:rFonts w:ascii="IRBadr" w:hAnsi="IRBadr" w:cs="IRBadr"/>
          <w:sz w:val="28"/>
          <w:szCs w:val="28"/>
          <w:rtl/>
        </w:rPr>
        <w:t>روایت فوق هم به بحث حد و هم بحث قصاص پرداخته است،</w:t>
      </w:r>
      <w:r w:rsidR="005D4A13" w:rsidRPr="00DA123D">
        <w:rPr>
          <w:rFonts w:ascii="IRBadr" w:hAnsi="IRBadr" w:cs="IRBadr"/>
          <w:sz w:val="28"/>
          <w:szCs w:val="28"/>
          <w:rtl/>
        </w:rPr>
        <w:t xml:space="preserve"> لذا</w:t>
      </w:r>
      <w:r w:rsidRPr="00DA123D">
        <w:rPr>
          <w:rFonts w:ascii="IRBadr" w:hAnsi="IRBadr" w:cs="IRBadr"/>
          <w:sz w:val="28"/>
          <w:szCs w:val="28"/>
          <w:rtl/>
        </w:rPr>
        <w:t xml:space="preserve"> به بحث فعلی همخوانی دارد</w:t>
      </w:r>
      <w:r w:rsidR="005D475A" w:rsidRPr="00DA123D">
        <w:rPr>
          <w:rFonts w:ascii="IRBadr" w:hAnsi="IRBadr" w:cs="IRBadr"/>
          <w:sz w:val="28"/>
          <w:szCs w:val="28"/>
          <w:rtl/>
        </w:rPr>
        <w:t>.</w:t>
      </w:r>
      <w:r w:rsidR="005D4A13" w:rsidRPr="00DA123D">
        <w:rPr>
          <w:rFonts w:ascii="IRBadr" w:hAnsi="IRBadr" w:cs="IRBadr"/>
          <w:sz w:val="28"/>
          <w:szCs w:val="28"/>
          <w:rtl/>
        </w:rPr>
        <w:t xml:space="preserve"> جعفر</w:t>
      </w:r>
      <w:r w:rsidR="005D475A" w:rsidRPr="00DA123D">
        <w:rPr>
          <w:rFonts w:ascii="IRBadr" w:hAnsi="IRBadr" w:cs="IRBadr"/>
          <w:sz w:val="28"/>
          <w:szCs w:val="28"/>
          <w:rtl/>
        </w:rPr>
        <w:t xml:space="preserve"> بن بشیر در سند روایت از توثیق برخوردار نیست و سند روایت با مشکل </w:t>
      </w:r>
      <w:r w:rsidR="00A907F8" w:rsidRPr="00DA123D">
        <w:rPr>
          <w:rFonts w:ascii="IRBadr" w:hAnsi="IRBadr" w:cs="IRBadr"/>
          <w:sz w:val="28"/>
          <w:szCs w:val="28"/>
          <w:rtl/>
        </w:rPr>
        <w:t>روبه‌رو</w:t>
      </w:r>
      <w:r w:rsidR="005D475A" w:rsidRPr="00DA123D">
        <w:rPr>
          <w:rFonts w:ascii="IRBadr" w:hAnsi="IRBadr" w:cs="IRBadr"/>
          <w:sz w:val="28"/>
          <w:szCs w:val="28"/>
          <w:rtl/>
        </w:rPr>
        <w:t xml:space="preserve"> است.</w:t>
      </w:r>
    </w:p>
    <w:p w:rsidR="005D475A" w:rsidRPr="00DA123D" w:rsidRDefault="005D475A" w:rsidP="00BA2CC7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DA123D">
        <w:rPr>
          <w:rFonts w:ascii="IRBadr" w:hAnsi="IRBadr" w:cs="IRBadr"/>
          <w:sz w:val="28"/>
          <w:szCs w:val="28"/>
          <w:rtl/>
        </w:rPr>
        <w:t xml:space="preserve">روایت بعدی در این زمینه روایت هفتم از باب </w:t>
      </w:r>
      <w:r w:rsidR="00A907F8" w:rsidRPr="00DA123D">
        <w:rPr>
          <w:rFonts w:ascii="IRBadr" w:hAnsi="IRBadr" w:cs="IRBadr"/>
          <w:sz w:val="28"/>
          <w:szCs w:val="28"/>
          <w:rtl/>
        </w:rPr>
        <w:t>بیان‌شده</w:t>
      </w:r>
      <w:r w:rsidRPr="00DA123D">
        <w:rPr>
          <w:rFonts w:ascii="IRBadr" w:hAnsi="IRBadr" w:cs="IRBadr"/>
          <w:sz w:val="28"/>
          <w:szCs w:val="28"/>
          <w:rtl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</w:rPr>
        <w:t>هست</w:t>
      </w:r>
      <w:r w:rsidRPr="00DA123D">
        <w:rPr>
          <w:rFonts w:ascii="IRBadr" w:hAnsi="IRBadr" w:cs="IRBadr"/>
          <w:sz w:val="28"/>
          <w:szCs w:val="28"/>
          <w:rtl/>
        </w:rPr>
        <w:t xml:space="preserve"> که دارای سندی مطلوب است.</w:t>
      </w:r>
    </w:p>
    <w:p w:rsidR="005D475A" w:rsidRPr="00DA123D" w:rsidRDefault="000A13A6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lastRenderedPageBreak/>
        <w:t>اگر کسی در حین اجرای حد جان خود را از دست داد،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مجری باید قصاص شود یا دیه پرداخت کند؟ که روایت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: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اینجا نه دیه و نه قصاصی صورت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D475A" w:rsidRPr="00DA123D" w:rsidRDefault="00A907F8" w:rsidP="009D39B4">
      <w:pPr>
        <w:pStyle w:val="Heading3"/>
        <w:rPr>
          <w:rFonts w:ascii="IRBadr" w:hAnsi="IRBadr" w:cs="IRBadr"/>
          <w:rtl/>
        </w:rPr>
      </w:pPr>
      <w:r w:rsidRPr="00DA123D">
        <w:rPr>
          <w:rFonts w:ascii="IRBadr" w:hAnsi="IRBadr" w:cs="IRBadr"/>
          <w:rtl/>
        </w:rPr>
        <w:t>جمع‌بندی</w:t>
      </w:r>
    </w:p>
    <w:p w:rsidR="005D475A" w:rsidRPr="00DA123D" w:rsidRDefault="00351765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روایت نهم در این میان از سند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کامل‌تری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برخوردار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سندش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از علی بن ابراهیم بوده و تنها ابراهیم بن هاشم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 که بارها چندین راه برای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توثیق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او بیان شد که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ما واقع گشت.</w:t>
      </w:r>
    </w:p>
    <w:p w:rsidR="00BA2CC7" w:rsidRPr="00DA123D" w:rsidRDefault="00BA2CC7" w:rsidP="00BA2CC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بِإِسْنَادِهِ عَنْ عَلِ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إِبْرَاهِ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حَمَّادٍ عَنِ الْحَلَبِ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أَ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 رَجُلٍ قَتَلَهُ الْحَدُّ أَوِ الْقِصَاصُ فَلَا 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لَهُ الْحَدِ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ثَ.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DA123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BA2CC7" w:rsidRPr="00DA123D" w:rsidRDefault="00351765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در این روایت نیز به نحوی مطلق و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روشن‌بیان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شده که در این فرض نه دیه و نه قصاصی در کار نخواهد بود.</w:t>
      </w:r>
    </w:p>
    <w:p w:rsidR="00351765" w:rsidRPr="00DA123D" w:rsidRDefault="00351765" w:rsidP="009D39B4">
      <w:pPr>
        <w:pStyle w:val="Heading3"/>
        <w:rPr>
          <w:rFonts w:ascii="IRBadr" w:hAnsi="IRBadr" w:cs="IRBadr"/>
          <w:szCs w:val="28"/>
          <w:rtl/>
        </w:rPr>
      </w:pPr>
      <w:bookmarkStart w:id="9" w:name="_Toc425932908"/>
      <w:r w:rsidRPr="00DA123D">
        <w:rPr>
          <w:rFonts w:ascii="IRBadr" w:hAnsi="IRBadr" w:cs="IRBadr"/>
          <w:rtl/>
        </w:rPr>
        <w:t>مستند قول دوم</w:t>
      </w:r>
      <w:bookmarkEnd w:id="9"/>
    </w:p>
    <w:p w:rsidR="00351765" w:rsidRPr="00DA123D" w:rsidRDefault="00351765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مستندات این قول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بیان شد که احترام دم مسلم یکی از آن موارد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می‌آمد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لازمه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 روایت،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 که در صورت کشته شدن یا باید قصاص و یا دیه پرداخت گردد.</w:t>
      </w:r>
    </w:p>
    <w:p w:rsidR="00351765" w:rsidRPr="00DA123D" w:rsidRDefault="00351765" w:rsidP="009D39B4">
      <w:pPr>
        <w:pStyle w:val="Heading4"/>
        <w:rPr>
          <w:rFonts w:ascii="IRBadr" w:hAnsi="IRBadr" w:cs="IRBadr"/>
          <w:rtl/>
        </w:rPr>
      </w:pPr>
      <w:bookmarkStart w:id="10" w:name="_Toc425932909"/>
      <w:r w:rsidRPr="00DA123D">
        <w:rPr>
          <w:rFonts w:ascii="IRBadr" w:hAnsi="IRBadr" w:cs="IRBadr"/>
          <w:rtl/>
        </w:rPr>
        <w:t>خدشه در وجه فوق</w:t>
      </w:r>
      <w:bookmarkEnd w:id="10"/>
    </w:p>
    <w:p w:rsidR="00351765" w:rsidRPr="00DA123D" w:rsidRDefault="00351765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پاسخی که مشهور از این قول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5B090D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="005B090D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5B090D" w:rsidRPr="00DA123D">
        <w:rPr>
          <w:rFonts w:ascii="IRBadr" w:hAnsi="IRBadr" w:cs="IRBadr"/>
          <w:sz w:val="28"/>
          <w:szCs w:val="28"/>
          <w:rtl/>
          <w:lang w:bidi="fa-IR"/>
        </w:rPr>
        <w:t xml:space="preserve"> مورد تخصیص قرار گیرد،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5B090D"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اینجا نیز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="005B090D"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 و قاعده فوق با مورد حد تخصیص خورده است.</w:t>
      </w:r>
    </w:p>
    <w:p w:rsidR="005B090D" w:rsidRPr="00DA123D" w:rsidRDefault="005B090D" w:rsidP="009D39B4">
      <w:pPr>
        <w:pStyle w:val="Heading4"/>
        <w:rPr>
          <w:rFonts w:ascii="IRBadr" w:hAnsi="IRBadr" w:cs="IRBadr"/>
          <w:rtl/>
        </w:rPr>
      </w:pPr>
      <w:bookmarkStart w:id="11" w:name="_Toc425932910"/>
      <w:r w:rsidRPr="00DA123D">
        <w:rPr>
          <w:rFonts w:ascii="IRBadr" w:hAnsi="IRBadr" w:cs="IRBadr"/>
          <w:rtl/>
        </w:rPr>
        <w:t>اشکال به خدشه فوق</w:t>
      </w:r>
      <w:bookmarkEnd w:id="11"/>
    </w:p>
    <w:p w:rsidR="005B090D" w:rsidRPr="00DA123D" w:rsidRDefault="005B090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lastRenderedPageBreak/>
        <w:t>آقای خوانساری این وجه را رد کرده و قائل است که این قاعده عاری از تخصیص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اصول نیز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که برخی اطلاقات از تخصیص خوردن عاری هستند، ایشان اعتقاد دارد که مگر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گفت: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موردی اجازه تضییع و تعدی به حقوق مسلم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B090D" w:rsidRPr="00DA123D" w:rsidRDefault="005B090D" w:rsidP="009D39B4">
      <w:pPr>
        <w:pStyle w:val="Heading4"/>
        <w:rPr>
          <w:rFonts w:ascii="IRBadr" w:hAnsi="IRBadr" w:cs="IRBadr"/>
          <w:rtl/>
        </w:rPr>
      </w:pPr>
      <w:bookmarkStart w:id="12" w:name="_Toc425932911"/>
      <w:r w:rsidRPr="00DA123D">
        <w:rPr>
          <w:rFonts w:ascii="IRBadr" w:hAnsi="IRBadr" w:cs="IRBadr"/>
          <w:rtl/>
        </w:rPr>
        <w:t>پاسخ به ادعای مرحوم خوانساری</w:t>
      </w:r>
      <w:bookmarkEnd w:id="12"/>
    </w:p>
    <w:p w:rsidR="005B090D" w:rsidRPr="00DA123D" w:rsidRDefault="005B090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از کلام ایشان که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 قاعده تخصیص بردار نیست،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دو پاسخ را ارائه داد.</w:t>
      </w:r>
    </w:p>
    <w:p w:rsidR="005B090D" w:rsidRPr="00DA123D" w:rsidRDefault="005B090D" w:rsidP="009D39B4">
      <w:pPr>
        <w:pStyle w:val="Heading3"/>
        <w:rPr>
          <w:rFonts w:ascii="IRBadr" w:hAnsi="IRBadr" w:cs="IRBadr"/>
          <w:rtl/>
        </w:rPr>
      </w:pPr>
      <w:bookmarkStart w:id="13" w:name="_Toc425932912"/>
      <w:r w:rsidRPr="00DA123D">
        <w:rPr>
          <w:rFonts w:ascii="IRBadr" w:hAnsi="IRBadr" w:cs="IRBadr"/>
          <w:rtl/>
        </w:rPr>
        <w:t>پاسخ اول</w:t>
      </w:r>
      <w:bookmarkEnd w:id="13"/>
    </w:p>
    <w:p w:rsidR="005B090D" w:rsidRPr="00DA123D" w:rsidRDefault="005B090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در مرحله اول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از ادعای ایشان پاسخ داد که قاعده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از اجرای حدود منصرف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فردی بدون گناهی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به‌ناحق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موردتعدی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قرار بگیرد،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آنجا این قاعده جریان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می‌یابد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در مواردی مثل این مقام که فرد مرتکب زنا یا شرب خمر یا ...شده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قوانین باید حد بر او جاری شود و احتمال کشته شدن او نیز وجود دارد.</w:t>
      </w:r>
    </w:p>
    <w:p w:rsidR="005B090D" w:rsidRPr="00DA123D" w:rsidRDefault="00E54A3A" w:rsidP="009D39B4">
      <w:pPr>
        <w:pStyle w:val="Heading3"/>
        <w:rPr>
          <w:rFonts w:ascii="IRBadr" w:hAnsi="IRBadr" w:cs="IRBadr"/>
          <w:rtl/>
        </w:rPr>
      </w:pPr>
      <w:bookmarkStart w:id="14" w:name="_Toc425932913"/>
      <w:r w:rsidRPr="00DA123D">
        <w:rPr>
          <w:rFonts w:ascii="IRBadr" w:hAnsi="IRBadr" w:cs="IRBadr"/>
          <w:rtl/>
        </w:rPr>
        <w:t>پاسخ دوم</w:t>
      </w:r>
      <w:bookmarkEnd w:id="14"/>
    </w:p>
    <w:p w:rsidR="00E54A3A" w:rsidRPr="00DA123D" w:rsidRDefault="00371AE7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در صورت پذیرش شمول قاعده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 را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نمی‌توانیم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بپذیریم که این قاعده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تخصیص بخورد.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 xml:space="preserve"> عمده دلیل ایشان است و جای تعجب باقی است که چگونه ایشان به روایات متعددی که مطابق با قول مشهور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توجهی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 xml:space="preserve"> نداشتند.</w:t>
      </w:r>
    </w:p>
    <w:p w:rsidR="00EB7571" w:rsidRPr="00DA123D" w:rsidRDefault="00EB7571" w:rsidP="009D39B4">
      <w:pPr>
        <w:pStyle w:val="Heading4"/>
        <w:rPr>
          <w:rFonts w:ascii="IRBadr" w:hAnsi="IRBadr" w:cs="IRBadr"/>
          <w:rtl/>
        </w:rPr>
      </w:pPr>
      <w:bookmarkStart w:id="15" w:name="_Toc425932914"/>
      <w:r w:rsidRPr="00DA123D">
        <w:rPr>
          <w:rFonts w:ascii="IRBadr" w:hAnsi="IRBadr" w:cs="IRBadr"/>
          <w:rtl/>
        </w:rPr>
        <w:t>اتخاذ مبنا</w:t>
      </w:r>
      <w:bookmarkEnd w:id="15"/>
    </w:p>
    <w:p w:rsidR="00BA2CC7" w:rsidRPr="00DA123D" w:rsidRDefault="00A907F8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 xml:space="preserve"> دوم کنار رفته و 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نیست</w:t>
      </w:r>
      <w:r w:rsidR="00EB7571"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A2CC7" w:rsidRPr="00DA123D" w:rsidRDefault="00BA2CC7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B7571" w:rsidRPr="00DA123D" w:rsidRDefault="00EB7571" w:rsidP="009D39B4">
      <w:pPr>
        <w:pStyle w:val="Heading3"/>
        <w:rPr>
          <w:rFonts w:ascii="IRBadr" w:hAnsi="IRBadr" w:cs="IRBadr"/>
          <w:szCs w:val="28"/>
          <w:rtl/>
        </w:rPr>
      </w:pPr>
      <w:bookmarkStart w:id="16" w:name="_Toc425932915"/>
      <w:r w:rsidRPr="00DA123D">
        <w:rPr>
          <w:rFonts w:ascii="IRBadr" w:hAnsi="IRBadr" w:cs="IRBadr"/>
          <w:rtl/>
        </w:rPr>
        <w:t>مستند قول سوم</w:t>
      </w:r>
      <w:bookmarkEnd w:id="16"/>
    </w:p>
    <w:p w:rsidR="00EB7571" w:rsidRPr="00DA123D" w:rsidRDefault="00EB7571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قول سوم که قول نادری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روایتی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دال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روایت سوم از باب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بیست‌وچهار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است، که؛</w:t>
      </w:r>
    </w:p>
    <w:p w:rsidR="00BA2CC7" w:rsidRPr="00DA123D" w:rsidRDefault="00BA2CC7" w:rsidP="00BA2CC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«مُحَمَّدُ بْنُ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مُحَمَّدٍ عَنِ ابْنِ مَحْبُوبٍ عَنِ الْحَسَنِ بْنِ صَالِحٍ الثَّوْرِ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عَلِ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مَنْ ضَرَبْنَاهُ حَدّاً مِنْ حُدُودِ اللَّهِ فَمَاتَ فَلَا 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لَهُ عَلَ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 وَ مَنْ ضَرَبْنَاهُ حَدّاً فِ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‌ءٍ مِنْ حُقُوقِ النَّاسِ فَمَاتَ فَإِنَّ دِ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تَهُ عَلَ</w:t>
      </w:r>
      <w:r w:rsidR="005D4A13"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123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نَا.»</w:t>
      </w:r>
      <w:r w:rsidRPr="00DA123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EB7571" w:rsidRPr="00DA123D" w:rsidRDefault="00EB7571" w:rsidP="009D39B4">
      <w:pPr>
        <w:pStyle w:val="Heading3"/>
        <w:rPr>
          <w:rFonts w:ascii="IRBadr" w:hAnsi="IRBadr" w:cs="IRBadr"/>
          <w:rtl/>
        </w:rPr>
      </w:pPr>
      <w:bookmarkStart w:id="17" w:name="_Toc425932916"/>
      <w:r w:rsidRPr="00DA123D">
        <w:rPr>
          <w:rFonts w:ascii="IRBadr" w:hAnsi="IRBadr" w:cs="IRBadr"/>
          <w:rtl/>
        </w:rPr>
        <w:t>بررسی روایت</w:t>
      </w:r>
      <w:bookmarkEnd w:id="17"/>
    </w:p>
    <w:p w:rsidR="00EB7571" w:rsidRPr="00DA123D" w:rsidRDefault="00EB7571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سند روایت فوق به خاطر حسن صالح سوری که عاری از توثیق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مانعی مواجه است. روایت فوق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دلالت وضوح دارد،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نسبت به روایات عدم دیه رابطه عموم و خصوص مطلق دارد. علاوه بر ضعف سند روایت، فتوای مشهور نیز همراه با آن نیست.</w:t>
      </w:r>
    </w:p>
    <w:p w:rsidR="00EB7571" w:rsidRPr="00DA123D" w:rsidRDefault="00EB7571" w:rsidP="009D39B4">
      <w:pPr>
        <w:pStyle w:val="Heading4"/>
        <w:rPr>
          <w:rFonts w:ascii="IRBadr" w:hAnsi="IRBadr" w:cs="IRBadr"/>
          <w:rtl/>
        </w:rPr>
      </w:pPr>
      <w:bookmarkStart w:id="18" w:name="_Toc425932917"/>
      <w:r w:rsidRPr="00DA123D">
        <w:rPr>
          <w:rFonts w:ascii="IRBadr" w:hAnsi="IRBadr" w:cs="IRBadr"/>
          <w:rtl/>
        </w:rPr>
        <w:t>اتخاذ مبنا</w:t>
      </w:r>
      <w:bookmarkEnd w:id="18"/>
    </w:p>
    <w:p w:rsidR="00EB7571" w:rsidRPr="00DA123D" w:rsidRDefault="00EB7571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پس این روایت نیز به دلیل ضعف سندی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واقع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B7571" w:rsidRPr="00DA123D" w:rsidRDefault="00EB7571" w:rsidP="009D39B4">
      <w:pPr>
        <w:pStyle w:val="Heading3"/>
        <w:rPr>
          <w:rFonts w:ascii="IRBadr" w:hAnsi="IRBadr" w:cs="IRBadr"/>
          <w:rtl/>
        </w:rPr>
      </w:pPr>
      <w:bookmarkStart w:id="19" w:name="_Toc425932918"/>
      <w:r w:rsidRPr="00DA123D">
        <w:rPr>
          <w:rFonts w:ascii="IRBadr" w:hAnsi="IRBadr" w:cs="IRBadr"/>
          <w:rtl/>
        </w:rPr>
        <w:t>مستند قول چهارم</w:t>
      </w:r>
      <w:bookmarkEnd w:id="19"/>
    </w:p>
    <w:p w:rsidR="00EB7571" w:rsidRPr="00DA123D" w:rsidRDefault="00EB7571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دلیل این قول نیز به دو جنبه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B7571" w:rsidRPr="00DA123D" w:rsidRDefault="00EB7571" w:rsidP="009D39B4">
      <w:pPr>
        <w:pStyle w:val="Heading4"/>
        <w:rPr>
          <w:rFonts w:ascii="IRBadr" w:hAnsi="IRBadr" w:cs="IRBadr"/>
          <w:rtl/>
        </w:rPr>
      </w:pPr>
      <w:bookmarkStart w:id="20" w:name="_Toc425932919"/>
      <w:r w:rsidRPr="00DA123D">
        <w:rPr>
          <w:rFonts w:ascii="IRBadr" w:hAnsi="IRBadr" w:cs="IRBadr"/>
          <w:rtl/>
        </w:rPr>
        <w:t>علت اول</w:t>
      </w:r>
      <w:bookmarkEnd w:id="20"/>
    </w:p>
    <w:p w:rsidR="00EB7571" w:rsidRPr="00DA123D" w:rsidRDefault="0031243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دلیل اول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 است که حد شامل تعزیر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1243D" w:rsidRPr="00DA123D" w:rsidRDefault="0031243D" w:rsidP="009D39B4">
      <w:pPr>
        <w:pStyle w:val="Heading4"/>
        <w:rPr>
          <w:rFonts w:ascii="IRBadr" w:hAnsi="IRBadr" w:cs="IRBadr"/>
          <w:rtl/>
        </w:rPr>
      </w:pPr>
      <w:bookmarkStart w:id="21" w:name="_Toc425932920"/>
      <w:r w:rsidRPr="00DA123D">
        <w:rPr>
          <w:rFonts w:ascii="IRBadr" w:hAnsi="IRBadr" w:cs="IRBadr"/>
          <w:rtl/>
        </w:rPr>
        <w:t>خدشه در علت فوق</w:t>
      </w:r>
      <w:bookmarkEnd w:id="21"/>
    </w:p>
    <w:p w:rsidR="0031243D" w:rsidRPr="00DA123D" w:rsidRDefault="0031243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>صاحب جواهر از علت فوق به دو طریق جواب داده است،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مرحله اول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؛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حد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در روایات استعمال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را هم دربر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،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ثانیاً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اینکه اگر دربر نگیرد القای خصوصیت خواهد شد.</w:t>
      </w:r>
    </w:p>
    <w:p w:rsidR="00EB7571" w:rsidRPr="00DA123D" w:rsidRDefault="0031243D" w:rsidP="009D39B4">
      <w:pPr>
        <w:pStyle w:val="Heading4"/>
        <w:rPr>
          <w:rFonts w:ascii="IRBadr" w:hAnsi="IRBadr" w:cs="IRBadr"/>
          <w:color w:val="000000"/>
          <w:sz w:val="2"/>
          <w:szCs w:val="2"/>
          <w:rtl/>
        </w:rPr>
      </w:pPr>
      <w:bookmarkStart w:id="22" w:name="_Toc425932921"/>
      <w:r w:rsidRPr="00DA123D">
        <w:rPr>
          <w:rFonts w:ascii="IRBadr" w:hAnsi="IRBadr" w:cs="IRBadr"/>
          <w:rtl/>
        </w:rPr>
        <w:t>اتخاذ مبنا</w:t>
      </w:r>
      <w:bookmarkEnd w:id="22"/>
    </w:p>
    <w:p w:rsidR="0031243D" w:rsidRPr="00DA123D" w:rsidRDefault="0031243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پاسخ اول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ما نیست چراکه در مواردی در روایات حد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است و تعزیر را شامل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لذا در اینجا حداقل ابهام شکل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و در هنگام ابهام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ادعای مربوط را اثبات نمود.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اینجا شبهه </w:t>
      </w:r>
      <w:r w:rsidR="00471BEE">
        <w:rPr>
          <w:rFonts w:ascii="IRBadr" w:hAnsi="IRBadr" w:cs="IRBadr"/>
          <w:sz w:val="28"/>
          <w:szCs w:val="28"/>
          <w:rtl/>
          <w:lang w:bidi="fa-IR"/>
        </w:rPr>
        <w:t>مفهومیه‌ای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خواهد آمد و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معینه نیز وجود ندارد.</w:t>
      </w:r>
    </w:p>
    <w:p w:rsidR="00EB7571" w:rsidRPr="00DA123D" w:rsidRDefault="0031243D" w:rsidP="00BA2C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123D">
        <w:rPr>
          <w:rFonts w:ascii="IRBadr" w:hAnsi="IRBadr" w:cs="IRBadr"/>
          <w:sz w:val="28"/>
          <w:szCs w:val="28"/>
          <w:rtl/>
          <w:lang w:bidi="fa-IR"/>
        </w:rPr>
        <w:lastRenderedPageBreak/>
        <w:t>و در مرتبه بعد امکان تنقیح مناطی قطعی در اینجا وجود ندارد.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تعجب وجود دارد که چگونه صاحب جواهر </w:t>
      </w:r>
      <w:r w:rsidR="00A907F8" w:rsidRPr="00DA123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 xml:space="preserve"> بیانی </w:t>
      </w:r>
      <w:r w:rsidR="005D4A13" w:rsidRPr="00DA123D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Pr="00DA123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DA123D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DA123D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A9" w:rsidRDefault="002567A9" w:rsidP="000D5800">
      <w:pPr>
        <w:spacing w:after="0" w:line="240" w:lineRule="auto"/>
      </w:pPr>
      <w:r>
        <w:separator/>
      </w:r>
    </w:p>
  </w:endnote>
  <w:endnote w:type="continuationSeparator" w:id="0">
    <w:p w:rsidR="002567A9" w:rsidRDefault="002567A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Noor_Lotus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A9" w:rsidRDefault="002567A9" w:rsidP="009D39B4">
      <w:pPr>
        <w:bidi/>
        <w:spacing w:after="0" w:line="240" w:lineRule="auto"/>
      </w:pPr>
      <w:r>
        <w:separator/>
      </w:r>
    </w:p>
  </w:footnote>
  <w:footnote w:type="continuationSeparator" w:id="0">
    <w:p w:rsidR="002567A9" w:rsidRDefault="002567A9" w:rsidP="000D5800">
      <w:pPr>
        <w:spacing w:after="0" w:line="240" w:lineRule="auto"/>
      </w:pPr>
      <w:r>
        <w:continuationSeparator/>
      </w:r>
    </w:p>
  </w:footnote>
  <w:footnote w:id="1">
    <w:p w:rsidR="00BC42EF" w:rsidRDefault="00BC42E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C42EF">
        <w:rPr>
          <w:rFonts w:ascii="Noor_Titr" w:hAnsi="Noor_Titr" w:cs="B Badr" w:hint="cs"/>
          <w:color w:val="000000" w:themeColor="text1"/>
          <w:rtl/>
        </w:rPr>
        <w:t>ال</w:t>
      </w:r>
      <w:r w:rsidR="005D4A13">
        <w:rPr>
          <w:rFonts w:ascii="Noor_Titr" w:hAnsi="Noor_Titr" w:cs="B Badr" w:hint="cs"/>
          <w:color w:val="000000" w:themeColor="text1"/>
          <w:rtl/>
        </w:rPr>
        <w:t>ک</w:t>
      </w:r>
      <w:r w:rsidRPr="00BC42EF">
        <w:rPr>
          <w:rFonts w:ascii="Noor_Titr" w:hAnsi="Noor_Titr" w:cs="B Badr" w:hint="cs"/>
          <w:color w:val="000000" w:themeColor="text1"/>
          <w:rtl/>
        </w:rPr>
        <w:t>اف</w:t>
      </w:r>
      <w:r w:rsidR="005D4A13">
        <w:rPr>
          <w:rFonts w:ascii="Noor_Titr" w:hAnsi="Noor_Titr" w:cs="B Badr" w:hint="cs"/>
          <w:color w:val="000000" w:themeColor="text1"/>
          <w:rtl/>
        </w:rPr>
        <w:t>ی</w:t>
      </w:r>
      <w:r w:rsidRPr="00BC42EF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D4A13">
        <w:rPr>
          <w:rFonts w:ascii="Noor_Titr" w:hAnsi="Noor_Titr" w:cs="B Badr" w:hint="cs"/>
          <w:color w:val="000000" w:themeColor="text1"/>
          <w:rtl/>
        </w:rPr>
        <w:t>ی</w:t>
      </w:r>
      <w:r w:rsidRPr="00BC42EF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D4A13">
        <w:rPr>
          <w:rFonts w:ascii="Noor_Titr" w:hAnsi="Noor_Titr" w:cs="B Badr"/>
          <w:color w:val="000000" w:themeColor="text1"/>
          <w:rtl/>
        </w:rPr>
        <w:t>ج 7</w:t>
      </w:r>
      <w:r w:rsidRPr="00BC42EF">
        <w:rPr>
          <w:rFonts w:ascii="Noor_Titr" w:hAnsi="Noor_Titr" w:cs="B Badr" w:hint="cs"/>
          <w:color w:val="000000" w:themeColor="text1"/>
          <w:rtl/>
        </w:rPr>
        <w:t>، ص: 292</w:t>
      </w:r>
    </w:p>
  </w:footnote>
  <w:footnote w:id="2">
    <w:p w:rsidR="00BC42EF" w:rsidRDefault="00BC42E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C42EF">
        <w:rPr>
          <w:rFonts w:ascii="Noor_Titr" w:hAnsi="Noor_Titr" w:cs="B Badr" w:hint="cs"/>
          <w:color w:val="000000" w:themeColor="text1"/>
          <w:rtl/>
        </w:rPr>
        <w:t>تهذ</w:t>
      </w:r>
      <w:r w:rsidR="005D4A13">
        <w:rPr>
          <w:rFonts w:ascii="Noor_Titr" w:hAnsi="Noor_Titr" w:cs="B Badr" w:hint="cs"/>
          <w:color w:val="000000" w:themeColor="text1"/>
          <w:rtl/>
        </w:rPr>
        <w:t>ی</w:t>
      </w:r>
      <w:r w:rsidRPr="00BC42EF">
        <w:rPr>
          <w:rFonts w:ascii="Noor_Titr" w:hAnsi="Noor_Titr" w:cs="B Badr" w:hint="cs"/>
          <w:color w:val="000000" w:themeColor="text1"/>
          <w:rtl/>
        </w:rPr>
        <w:t>ب الأح</w:t>
      </w:r>
      <w:r w:rsidR="005D4A13">
        <w:rPr>
          <w:rFonts w:ascii="Noor_Titr" w:hAnsi="Noor_Titr" w:cs="B Badr" w:hint="cs"/>
          <w:color w:val="000000" w:themeColor="text1"/>
          <w:rtl/>
        </w:rPr>
        <w:t>ک</w:t>
      </w:r>
      <w:r w:rsidRPr="00BC42EF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5D4A13">
        <w:rPr>
          <w:rFonts w:ascii="Noor_Titr" w:hAnsi="Noor_Titr" w:cs="B Badr"/>
          <w:color w:val="000000" w:themeColor="text1"/>
          <w:rtl/>
        </w:rPr>
        <w:t>ج 10</w:t>
      </w:r>
      <w:r w:rsidRPr="00BC42EF">
        <w:rPr>
          <w:rFonts w:ascii="Noor_Titr" w:hAnsi="Noor_Titr" w:cs="B Badr" w:hint="cs"/>
          <w:color w:val="000000" w:themeColor="text1"/>
          <w:rtl/>
        </w:rPr>
        <w:t>، ص: 191</w:t>
      </w:r>
    </w:p>
  </w:footnote>
  <w:footnote w:id="3">
    <w:p w:rsidR="00BA2CC7" w:rsidRDefault="00BA2CC7" w:rsidP="00BA2CC7">
      <w:pPr>
        <w:pStyle w:val="NormalWeb"/>
        <w:bidi/>
        <w:rPr>
          <w:rFonts w:ascii="Noor_Nazli" w:hAnsi="Noor_Nazli" w:cs="Noor_Nazli"/>
          <w:color w:val="000000"/>
          <w:sz w:val="2"/>
          <w:szCs w:val="2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A2CC7">
        <w:rPr>
          <w:rFonts w:ascii="Noor_Titr" w:hAnsi="Noor_Titr" w:cs="B Badr" w:hint="cs"/>
          <w:color w:val="000000" w:themeColor="text1"/>
          <w:sz w:val="20"/>
          <w:szCs w:val="20"/>
          <w:rtl/>
        </w:rPr>
        <w:t>وسائل الش</w:t>
      </w:r>
      <w:r w:rsidR="005D4A13">
        <w:rPr>
          <w:rFonts w:ascii="Noor_Titr" w:hAnsi="Noor_Titr" w:cs="B Badr" w:hint="cs"/>
          <w:color w:val="000000" w:themeColor="text1"/>
          <w:sz w:val="20"/>
          <w:szCs w:val="20"/>
          <w:rtl/>
        </w:rPr>
        <w:t>ی</w:t>
      </w:r>
      <w:r w:rsidRPr="00BA2CC7">
        <w:rPr>
          <w:rFonts w:ascii="Noor_Titr" w:hAnsi="Noor_Titr" w:cs="B Badr" w:hint="cs"/>
          <w:color w:val="000000" w:themeColor="text1"/>
          <w:sz w:val="20"/>
          <w:szCs w:val="20"/>
          <w:rtl/>
        </w:rPr>
        <w:t xml:space="preserve">عة؛ </w:t>
      </w:r>
      <w:r w:rsidR="005D4A13">
        <w:rPr>
          <w:rFonts w:ascii="Noor_Titr" w:hAnsi="Noor_Titr" w:cs="B Badr"/>
          <w:color w:val="000000" w:themeColor="text1"/>
          <w:sz w:val="20"/>
          <w:szCs w:val="20"/>
          <w:rtl/>
        </w:rPr>
        <w:t>ج 29</w:t>
      </w:r>
      <w:r w:rsidRPr="00BA2CC7">
        <w:rPr>
          <w:rFonts w:ascii="Noor_Titr" w:hAnsi="Noor_Titr" w:cs="B Badr" w:hint="cs"/>
          <w:color w:val="000000" w:themeColor="text1"/>
          <w:sz w:val="20"/>
          <w:szCs w:val="20"/>
          <w:rtl/>
        </w:rPr>
        <w:t>،</w:t>
      </w:r>
      <w:r>
        <w:rPr>
          <w:rFonts w:ascii="Noor_Nazli" w:hAnsi="Noor_Nazli" w:cs="Noor_Nazli" w:hint="cs"/>
          <w:color w:val="3232FA"/>
          <w:sz w:val="18"/>
          <w:szCs w:val="18"/>
          <w:rtl/>
        </w:rPr>
        <w:t xml:space="preserve"> </w:t>
      </w:r>
      <w:r w:rsidRPr="00BA2CC7">
        <w:rPr>
          <w:rFonts w:ascii="Noor_Titr" w:hAnsi="Noor_Titr" w:cs="B Badr" w:hint="cs"/>
          <w:color w:val="000000" w:themeColor="text1"/>
          <w:sz w:val="20"/>
          <w:szCs w:val="20"/>
          <w:rtl/>
        </w:rPr>
        <w:t>ص: 65</w:t>
      </w:r>
    </w:p>
    <w:p w:rsidR="00BA2CC7" w:rsidRDefault="00BA2CC7" w:rsidP="00BA2CC7">
      <w:pPr>
        <w:pStyle w:val="NormalWeb"/>
        <w:bidi/>
        <w:rPr>
          <w:rFonts w:ascii="Noor_Lotus" w:hAnsi="Noor_Lotus" w:cs="Noor_Lotus"/>
          <w:color w:val="000000"/>
          <w:sz w:val="2"/>
          <w:szCs w:val="2"/>
          <w:rtl/>
        </w:rPr>
      </w:pPr>
    </w:p>
    <w:p w:rsidR="00BA2CC7" w:rsidRDefault="00BA2CC7">
      <w:pPr>
        <w:pStyle w:val="FootnoteText"/>
        <w:rPr>
          <w:rFonts w:ascii="Noor_Titr" w:hAnsi="Noor_Titr" w:cs="B Badr"/>
          <w:color w:val="000000" w:themeColor="text1"/>
          <w:rtl/>
        </w:rPr>
      </w:pPr>
    </w:p>
    <w:p w:rsidR="00BA2CC7" w:rsidRDefault="00BA2CC7">
      <w:pPr>
        <w:pStyle w:val="FootnoteText"/>
        <w:rPr>
          <w:rtl/>
        </w:rPr>
      </w:pPr>
    </w:p>
  </w:footnote>
  <w:footnote w:id="4">
    <w:p w:rsidR="00BA2CC7" w:rsidRDefault="00BA2C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A2CC7">
        <w:rPr>
          <w:rFonts w:ascii="Noor_Titr" w:hAnsi="Noor_Titr" w:cs="B Badr" w:hint="cs"/>
          <w:color w:val="000000" w:themeColor="text1"/>
          <w:rtl/>
        </w:rPr>
        <w:t>ال</w:t>
      </w:r>
      <w:r w:rsidR="005D4A13">
        <w:rPr>
          <w:rFonts w:ascii="Noor_Titr" w:hAnsi="Noor_Titr" w:cs="B Badr" w:hint="cs"/>
          <w:color w:val="000000" w:themeColor="text1"/>
          <w:rtl/>
        </w:rPr>
        <w:t>ک</w:t>
      </w:r>
      <w:r w:rsidRPr="00BA2CC7">
        <w:rPr>
          <w:rFonts w:ascii="Noor_Titr" w:hAnsi="Noor_Titr" w:cs="B Badr" w:hint="cs"/>
          <w:color w:val="000000" w:themeColor="text1"/>
          <w:rtl/>
        </w:rPr>
        <w:t>اف</w:t>
      </w:r>
      <w:r w:rsidR="005D4A13">
        <w:rPr>
          <w:rFonts w:ascii="Noor_Titr" w:hAnsi="Noor_Titr" w:cs="B Badr" w:hint="cs"/>
          <w:color w:val="000000" w:themeColor="text1"/>
          <w:rtl/>
        </w:rPr>
        <w:t>ی</w:t>
      </w:r>
      <w:r w:rsidRPr="00BA2CC7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D4A13">
        <w:rPr>
          <w:rFonts w:ascii="Noor_Titr" w:hAnsi="Noor_Titr" w:cs="B Badr" w:hint="cs"/>
          <w:color w:val="000000" w:themeColor="text1"/>
          <w:rtl/>
        </w:rPr>
        <w:t>ی</w:t>
      </w:r>
      <w:r w:rsidRPr="00BA2CC7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D4A13">
        <w:rPr>
          <w:rFonts w:ascii="Noor_Titr" w:hAnsi="Noor_Titr" w:cs="B Badr"/>
          <w:color w:val="000000" w:themeColor="text1"/>
          <w:rtl/>
        </w:rPr>
        <w:t>ج 7</w:t>
      </w:r>
      <w:r w:rsidRPr="00BA2CC7">
        <w:rPr>
          <w:rFonts w:ascii="Noor_Titr" w:hAnsi="Noor_Titr" w:cs="B Badr" w:hint="cs"/>
          <w:color w:val="000000" w:themeColor="text1"/>
          <w:rtl/>
        </w:rPr>
        <w:t>، ص: 292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73E6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6BD46D0" wp14:editId="1652784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30083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3" w:name="OLE_LINK1"/>
    <w:bookmarkStart w:id="24" w:name="OLE_LINK2"/>
    <w:r>
      <w:rPr>
        <w:noProof/>
        <w:lang w:bidi="fa-IR"/>
      </w:rPr>
      <w:drawing>
        <wp:inline distT="0" distB="0" distL="0" distR="0" wp14:anchorId="74DC83AB" wp14:editId="4AB4357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  <w:bookmarkEnd w:id="24"/>
    <w:r w:rsidR="005D4A1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73E62">
      <w:rPr>
        <w:rFonts w:ascii="IranNastaliq" w:hAnsi="IranNastaliq" w:cs="IranNastaliq" w:hint="cs"/>
        <w:sz w:val="40"/>
        <w:szCs w:val="40"/>
        <w:rtl/>
      </w:rPr>
      <w:t>773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62"/>
    <w:rsid w:val="000228A2"/>
    <w:rsid w:val="000324F1"/>
    <w:rsid w:val="00041FE0"/>
    <w:rsid w:val="00052BA3"/>
    <w:rsid w:val="0006363E"/>
    <w:rsid w:val="00080DFF"/>
    <w:rsid w:val="00085ED5"/>
    <w:rsid w:val="000A13A6"/>
    <w:rsid w:val="000A1A51"/>
    <w:rsid w:val="000B2654"/>
    <w:rsid w:val="000D2D0D"/>
    <w:rsid w:val="000D5800"/>
    <w:rsid w:val="000F1897"/>
    <w:rsid w:val="000F7E72"/>
    <w:rsid w:val="00101E2D"/>
    <w:rsid w:val="00102CEB"/>
    <w:rsid w:val="00102CFE"/>
    <w:rsid w:val="0011643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0B7F"/>
    <w:rsid w:val="002417C9"/>
    <w:rsid w:val="002529C5"/>
    <w:rsid w:val="002567A9"/>
    <w:rsid w:val="00270294"/>
    <w:rsid w:val="002914BD"/>
    <w:rsid w:val="00297263"/>
    <w:rsid w:val="002C56FD"/>
    <w:rsid w:val="002D49E4"/>
    <w:rsid w:val="002E450B"/>
    <w:rsid w:val="002E73F9"/>
    <w:rsid w:val="002F05B9"/>
    <w:rsid w:val="0031243D"/>
    <w:rsid w:val="00340BA3"/>
    <w:rsid w:val="00351765"/>
    <w:rsid w:val="00366400"/>
    <w:rsid w:val="00371AE7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71BEE"/>
    <w:rsid w:val="004B337F"/>
    <w:rsid w:val="004F3596"/>
    <w:rsid w:val="00511955"/>
    <w:rsid w:val="00572E2D"/>
    <w:rsid w:val="00592103"/>
    <w:rsid w:val="005941DD"/>
    <w:rsid w:val="005A545E"/>
    <w:rsid w:val="005A5862"/>
    <w:rsid w:val="005B0852"/>
    <w:rsid w:val="005B090D"/>
    <w:rsid w:val="005C06AE"/>
    <w:rsid w:val="005D475A"/>
    <w:rsid w:val="005D4A13"/>
    <w:rsid w:val="00610C18"/>
    <w:rsid w:val="00612385"/>
    <w:rsid w:val="0061376C"/>
    <w:rsid w:val="00636EFA"/>
    <w:rsid w:val="00657F1F"/>
    <w:rsid w:val="0066229C"/>
    <w:rsid w:val="0069696C"/>
    <w:rsid w:val="006A085A"/>
    <w:rsid w:val="006C4EC2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96CC8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795C"/>
    <w:rsid w:val="008407A4"/>
    <w:rsid w:val="00844860"/>
    <w:rsid w:val="00845CC4"/>
    <w:rsid w:val="008644F4"/>
    <w:rsid w:val="00877028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46E4"/>
    <w:rsid w:val="009B61C3"/>
    <w:rsid w:val="009C7B4F"/>
    <w:rsid w:val="009D39B4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7F8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2CC7"/>
    <w:rsid w:val="00BB5F7E"/>
    <w:rsid w:val="00BC26F6"/>
    <w:rsid w:val="00BC42EF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6182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3E62"/>
    <w:rsid w:val="00D75A28"/>
    <w:rsid w:val="00D76353"/>
    <w:rsid w:val="00DA123D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4A3A"/>
    <w:rsid w:val="00E55891"/>
    <w:rsid w:val="00E6283A"/>
    <w:rsid w:val="00E732A3"/>
    <w:rsid w:val="00E83A85"/>
    <w:rsid w:val="00E90FC4"/>
    <w:rsid w:val="00EA01EC"/>
    <w:rsid w:val="00EA15B0"/>
    <w:rsid w:val="00EA5D97"/>
    <w:rsid w:val="00EB7571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73E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C42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3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73E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C42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3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D234-022B-4E43-A3CC-3DA4E3E4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158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44</cp:revision>
  <dcterms:created xsi:type="dcterms:W3CDTF">2014-12-20T09:54:00Z</dcterms:created>
  <dcterms:modified xsi:type="dcterms:W3CDTF">2015-08-13T07:51:00Z</dcterms:modified>
</cp:coreProperties>
</file>