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B3" w:rsidRPr="004F02D0" w:rsidRDefault="00D85A74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5F5C5B" w:rsidRPr="004F02D0" w:rsidRDefault="005F5C5B" w:rsidP="005F5C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F5C5B" w:rsidRPr="004F02D0" w:rsidRDefault="005F5C5B" w:rsidP="005F5C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4F02D0">
        <w:rPr>
          <w:rFonts w:ascii="IRBadr" w:hAnsi="IRBadr" w:cs="IRBadr"/>
          <w:sz w:val="28"/>
          <w:rtl/>
        </w:rPr>
        <w:fldChar w:fldCharType="begin"/>
      </w:r>
      <w:r w:rsidRPr="004F02D0">
        <w:rPr>
          <w:rFonts w:ascii="IRBadr" w:hAnsi="IRBadr" w:cs="IRBadr"/>
          <w:sz w:val="28"/>
          <w:rtl/>
        </w:rPr>
        <w:instrText xml:space="preserve"> </w:instrText>
      </w:r>
      <w:r w:rsidRPr="004F02D0">
        <w:rPr>
          <w:rFonts w:ascii="IRBadr" w:hAnsi="IRBadr" w:cs="IRBadr"/>
          <w:sz w:val="28"/>
        </w:rPr>
        <w:instrText>TOC</w:instrText>
      </w:r>
      <w:r w:rsidRPr="004F02D0">
        <w:rPr>
          <w:rFonts w:ascii="IRBadr" w:hAnsi="IRBadr" w:cs="IRBadr"/>
          <w:sz w:val="28"/>
          <w:rtl/>
        </w:rPr>
        <w:instrText xml:space="preserve"> \</w:instrText>
      </w:r>
      <w:r w:rsidRPr="004F02D0">
        <w:rPr>
          <w:rFonts w:ascii="IRBadr" w:hAnsi="IRBadr" w:cs="IRBadr"/>
          <w:sz w:val="28"/>
        </w:rPr>
        <w:instrText>o "</w:instrText>
      </w:r>
      <w:r w:rsidRPr="004F02D0">
        <w:rPr>
          <w:rFonts w:ascii="IRBadr" w:hAnsi="IRBadr" w:cs="IRBadr"/>
          <w:sz w:val="28"/>
          <w:rtl/>
        </w:rPr>
        <w:instrText>1-4</w:instrText>
      </w:r>
      <w:r w:rsidRPr="004F02D0">
        <w:rPr>
          <w:rFonts w:ascii="IRBadr" w:hAnsi="IRBadr" w:cs="IRBadr"/>
          <w:sz w:val="28"/>
        </w:rPr>
        <w:instrText>" \h \z \u</w:instrText>
      </w:r>
      <w:r w:rsidRPr="004F02D0">
        <w:rPr>
          <w:rFonts w:ascii="IRBadr" w:hAnsi="IRBadr" w:cs="IRBadr"/>
          <w:sz w:val="28"/>
          <w:rtl/>
        </w:rPr>
        <w:instrText xml:space="preserve"> </w:instrText>
      </w:r>
      <w:r w:rsidRPr="004F02D0">
        <w:rPr>
          <w:rFonts w:ascii="IRBadr" w:hAnsi="IRBadr" w:cs="IRBadr"/>
          <w:sz w:val="28"/>
          <w:rtl/>
        </w:rPr>
        <w:fldChar w:fldCharType="separate"/>
      </w:r>
      <w:hyperlink w:anchor="_Toc425844427" w:history="1">
        <w:r w:rsidRPr="004F02D0">
          <w:rPr>
            <w:rStyle w:val="Hyperlink"/>
            <w:rFonts w:ascii="IRBadr" w:hAnsi="IRBadr" w:cs="IRBadr"/>
            <w:noProof/>
            <w:rtl/>
          </w:rPr>
          <w:t>فوت در زمان اجرای حد</w:t>
        </w:r>
        <w:r w:rsidRPr="004F02D0">
          <w:rPr>
            <w:rFonts w:ascii="IRBadr" w:hAnsi="IRBadr" w:cs="IRBadr"/>
            <w:noProof/>
            <w:webHidden/>
          </w:rPr>
          <w:tab/>
        </w:r>
        <w:r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4F02D0">
          <w:rPr>
            <w:rFonts w:ascii="IRBadr" w:hAnsi="IRBadr" w:cs="IRBadr"/>
            <w:noProof/>
            <w:webHidden/>
          </w:rPr>
          <w:instrText xml:space="preserve"> PAGEREF _Toc425844427 \h </w:instrText>
        </w:r>
        <w:r w:rsidRPr="004F02D0">
          <w:rPr>
            <w:rStyle w:val="Hyperlink"/>
            <w:rFonts w:ascii="IRBadr" w:hAnsi="IRBadr" w:cs="IRBadr"/>
            <w:noProof/>
            <w:rtl/>
          </w:rPr>
        </w:r>
        <w:r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4F02D0">
          <w:rPr>
            <w:rFonts w:ascii="IRBadr" w:hAnsi="IRBadr" w:cs="IRBadr"/>
            <w:noProof/>
            <w:webHidden/>
          </w:rPr>
          <w:t>2</w:t>
        </w:r>
        <w:r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428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_Toc425844428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2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429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قول چهارم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_Toc425844429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2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430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ارزیابی قول فوق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_Toc425844430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2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1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ادعای دیه در تعزیر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_Toc425844431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2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2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رجوع به قواعد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_Toc425844432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3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3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قاعده اول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_Toc425844433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3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4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قاعده دوم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_Toc425844434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3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5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جمع بندی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_Toc425844435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6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آداب اجرای حد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_Toc425844436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7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اعلام به حضور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_Toc425844437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8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لزوم شرکت در مراسم اجرا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_Toc425844438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39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جهات دیگر در این مقام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_Toc425844439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0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_Toc425844440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1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روایت اول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_Toc425844441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4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2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اسناد دیگر روایت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_Toc425844442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5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3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روایت دوم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_Toc425844443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6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4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روایت سوم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_Toc425844444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6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F90D17" w:rsidP="005F5C5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445" w:history="1">
        <w:r w:rsidR="005F5C5B" w:rsidRPr="004F02D0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5F5C5B" w:rsidRPr="004F02D0">
          <w:rPr>
            <w:rFonts w:ascii="IRBadr" w:hAnsi="IRBadr" w:cs="IRBadr"/>
            <w:noProof/>
            <w:webHidden/>
          </w:rPr>
          <w:tab/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F5C5B" w:rsidRPr="004F02D0">
          <w:rPr>
            <w:rFonts w:ascii="IRBadr" w:hAnsi="IRBadr" w:cs="IRBadr"/>
            <w:noProof/>
            <w:webHidden/>
          </w:rPr>
          <w:instrText xml:space="preserve"> PAGEREF _Toc425844445 \h </w:instrText>
        </w:r>
        <w:r w:rsidR="005F5C5B" w:rsidRPr="004F02D0">
          <w:rPr>
            <w:rStyle w:val="Hyperlink"/>
            <w:rFonts w:ascii="IRBadr" w:hAnsi="IRBadr" w:cs="IRBadr"/>
            <w:noProof/>
            <w:rtl/>
          </w:rPr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F5C5B" w:rsidRPr="004F02D0">
          <w:rPr>
            <w:rFonts w:ascii="IRBadr" w:hAnsi="IRBadr" w:cs="IRBadr"/>
            <w:noProof/>
            <w:webHidden/>
          </w:rPr>
          <w:t>6</w:t>
        </w:r>
        <w:r w:rsidR="005F5C5B" w:rsidRPr="004F02D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F5C5B" w:rsidRPr="004F02D0" w:rsidRDefault="005F5C5B" w:rsidP="005F5C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F02D0" w:rsidRDefault="004F02D0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5844427"/>
      <w:r>
        <w:rPr>
          <w:rFonts w:ascii="IRBadr" w:hAnsi="IRBadr" w:cs="IRBadr"/>
          <w:rtl/>
        </w:rPr>
        <w:br w:type="page"/>
      </w:r>
    </w:p>
    <w:p w:rsidR="00732F1E" w:rsidRPr="004F02D0" w:rsidRDefault="00732F1E" w:rsidP="00EB07EB">
      <w:pPr>
        <w:pStyle w:val="Heading1"/>
        <w:rPr>
          <w:rFonts w:ascii="IRBadr" w:hAnsi="IRBadr" w:cs="IRBadr"/>
          <w:rtl/>
        </w:rPr>
      </w:pPr>
      <w:r w:rsidRPr="004F02D0">
        <w:rPr>
          <w:rFonts w:ascii="IRBadr" w:hAnsi="IRBadr" w:cs="IRBadr"/>
          <w:rtl/>
        </w:rPr>
        <w:lastRenderedPageBreak/>
        <w:t>فوت در زمان اجرای حد</w:t>
      </w:r>
      <w:bookmarkEnd w:id="0"/>
    </w:p>
    <w:p w:rsidR="00732F1E" w:rsidRPr="004F02D0" w:rsidRDefault="00732F1E" w:rsidP="00EB07EB">
      <w:pPr>
        <w:pStyle w:val="Heading1"/>
        <w:rPr>
          <w:rFonts w:ascii="IRBadr" w:hAnsi="IRBadr" w:cs="IRBadr"/>
          <w:rtl/>
        </w:rPr>
      </w:pPr>
      <w:bookmarkStart w:id="1" w:name="_Toc425844428"/>
      <w:r w:rsidRPr="004F02D0">
        <w:rPr>
          <w:rFonts w:ascii="IRBadr" w:hAnsi="IRBadr" w:cs="IRBadr"/>
          <w:rtl/>
        </w:rPr>
        <w:t>مرور بحث گذشته</w:t>
      </w:r>
      <w:bookmarkEnd w:id="1"/>
    </w:p>
    <w:p w:rsidR="00732F1E" w:rsidRPr="004F02D0" w:rsidRDefault="00732F1E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در جلسه گذشته بیان شد که اگر فرد در هنگام اجرای جلد جان خود را از دست بدهد،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باید برای او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نظر گرفته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شود یا خیر؟ گفته شد در این زمینه چهار قول وجود دارد،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بعد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از بیان اقوال به ذکر مستندات پرداختیم و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سندی مربوط بیان شد.</w:t>
      </w:r>
    </w:p>
    <w:p w:rsidR="00732F1E" w:rsidRPr="004F02D0" w:rsidRDefault="00732F1E" w:rsidP="00EB07EB">
      <w:pPr>
        <w:pStyle w:val="Heading2"/>
        <w:rPr>
          <w:rFonts w:ascii="IRBadr" w:hAnsi="IRBadr" w:cs="IRBadr"/>
          <w:rtl/>
        </w:rPr>
      </w:pPr>
      <w:bookmarkStart w:id="2" w:name="_Toc425844429"/>
      <w:r w:rsidRPr="004F02D0">
        <w:rPr>
          <w:rFonts w:ascii="IRBadr" w:hAnsi="IRBadr" w:cs="IRBadr"/>
          <w:rtl/>
        </w:rPr>
        <w:t>قول چهارم</w:t>
      </w:r>
      <w:bookmarkEnd w:id="2"/>
    </w:p>
    <w:p w:rsidR="00732F1E" w:rsidRPr="004F02D0" w:rsidRDefault="00732F1E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بحث رسید به قول چهارم که قائل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شده بود،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شیخ در المبسوط قائل هستند که در حد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وجود ندارد اما در حد باید دیه به فرد پرداخت شود، مستند این قول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به اینکه کلمه حد در روایات،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را در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برنمی‌گیرد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32F1E" w:rsidRPr="004F02D0" w:rsidRDefault="00732F1E" w:rsidP="00EB07EB">
      <w:pPr>
        <w:pStyle w:val="Heading2"/>
        <w:rPr>
          <w:rFonts w:ascii="IRBadr" w:hAnsi="IRBadr" w:cs="IRBadr"/>
          <w:rtl/>
        </w:rPr>
      </w:pPr>
      <w:bookmarkStart w:id="3" w:name="_Toc425844430"/>
      <w:r w:rsidRPr="004F02D0">
        <w:rPr>
          <w:rFonts w:ascii="IRBadr" w:hAnsi="IRBadr" w:cs="IRBadr"/>
          <w:rtl/>
        </w:rPr>
        <w:t>ارزیابی قول فوق</w:t>
      </w:r>
      <w:bookmarkEnd w:id="3"/>
    </w:p>
    <w:p w:rsidR="00732F1E" w:rsidRPr="004F02D0" w:rsidRDefault="00732F1E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در اینجا باید بررسی نمود که کلمه حد مشترک لفظی است و در روایات برای آن دو اصطلاح خاص و عام وجود دارد که بنابر یک اصطلاح حد،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را نیز دربر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. اینکه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مراد است،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نیازمند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به وجود قرینه ایست و در اینجا قرینه لازم وجود ندارد.</w:t>
      </w:r>
    </w:p>
    <w:p w:rsidR="00732F1E" w:rsidRPr="004F02D0" w:rsidRDefault="00732F1E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البته در مواردی که در کنار حد ذکر شود،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مشخص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است که حد تعزیر را در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برنمی‌گیرد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قاعده نیست که هرگاه حد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ذکر شد،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را هم دربر گیرد.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دلیل در پی این ابهام دچار اجمال شد،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ادله موجود در باب تعزیر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بی‌اثر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خواهد شد. به همین جهت بود که گفته شد تنقیح مناطی که امثال صاحب جواهر در این زمینه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283128" w:rsidRPr="004F02D0" w:rsidRDefault="00283128" w:rsidP="00EB07EB">
      <w:pPr>
        <w:pStyle w:val="Heading3"/>
        <w:rPr>
          <w:rFonts w:ascii="IRBadr" w:hAnsi="IRBadr" w:cs="IRBadr"/>
          <w:rtl/>
        </w:rPr>
      </w:pPr>
      <w:bookmarkStart w:id="4" w:name="_Toc425844431"/>
      <w:r w:rsidRPr="004F02D0">
        <w:rPr>
          <w:rFonts w:ascii="IRBadr" w:hAnsi="IRBadr" w:cs="IRBadr"/>
          <w:rtl/>
        </w:rPr>
        <w:t>ادعای دیه در تعزیر</w:t>
      </w:r>
      <w:bookmarkEnd w:id="4"/>
    </w:p>
    <w:p w:rsidR="00283128" w:rsidRPr="004F02D0" w:rsidRDefault="00283128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در این میان ممکن است قائلانی وجود داشته باشد که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تعزیر حدی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خفیف‌تر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منجر به مرگ طرف مقابل شد،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دیه او پرداخت شود،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اینجا ملاکی قطعی که گفته شود،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تعزیر نیز فرقی با حد وجود ندارد،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نیست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روایات و نه القاء خصوصیت در این مقام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حکم حد را به تعزیر نیز سرایت بدهد.</w:t>
      </w:r>
    </w:p>
    <w:p w:rsidR="00283128" w:rsidRPr="004F02D0" w:rsidRDefault="00283128" w:rsidP="00EB07EB">
      <w:pPr>
        <w:pStyle w:val="Heading3"/>
        <w:rPr>
          <w:rFonts w:ascii="IRBadr" w:hAnsi="IRBadr" w:cs="IRBadr"/>
          <w:rtl/>
        </w:rPr>
      </w:pPr>
      <w:bookmarkStart w:id="5" w:name="_Toc425844432"/>
      <w:r w:rsidRPr="004F02D0">
        <w:rPr>
          <w:rFonts w:ascii="IRBadr" w:hAnsi="IRBadr" w:cs="IRBadr"/>
          <w:rtl/>
        </w:rPr>
        <w:lastRenderedPageBreak/>
        <w:t>رجوع به قواعد</w:t>
      </w:r>
      <w:bookmarkEnd w:id="5"/>
    </w:p>
    <w:p w:rsidR="00283128" w:rsidRPr="004F02D0" w:rsidRDefault="00283128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در این مقام،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زمانی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اجمال حاصل شد،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به قواعد دیگر رجوع کنیم،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اینجا دو قاعده وجود دارد.</w:t>
      </w:r>
    </w:p>
    <w:p w:rsidR="00283128" w:rsidRPr="004F02D0" w:rsidRDefault="00283128" w:rsidP="00EB07EB">
      <w:pPr>
        <w:pStyle w:val="Heading3"/>
        <w:rPr>
          <w:rFonts w:ascii="IRBadr" w:hAnsi="IRBadr" w:cs="IRBadr"/>
          <w:rtl/>
        </w:rPr>
      </w:pPr>
      <w:bookmarkStart w:id="6" w:name="_Toc425844433"/>
      <w:r w:rsidRPr="004F02D0">
        <w:rPr>
          <w:rFonts w:ascii="IRBadr" w:hAnsi="IRBadr" w:cs="IRBadr"/>
          <w:rtl/>
        </w:rPr>
        <w:t>قاعده اول</w:t>
      </w:r>
      <w:bookmarkEnd w:id="6"/>
    </w:p>
    <w:p w:rsidR="00780A8C" w:rsidRPr="004F02D0" w:rsidRDefault="00283128" w:rsidP="00753B3F">
      <w:pPr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اولین </w:t>
      </w:r>
      <w:r w:rsidRPr="00753B3F">
        <w:rPr>
          <w:rFonts w:ascii="IRBadr" w:hAnsi="IRBadr" w:cs="IRBadr"/>
          <w:sz w:val="28"/>
          <w:szCs w:val="28"/>
          <w:rtl/>
          <w:lang w:bidi="fa-IR"/>
        </w:rPr>
        <w:t xml:space="preserve">قاعده این روایت </w:t>
      </w:r>
      <w:r w:rsidRPr="00753B3F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است که؛ </w:t>
      </w:r>
      <w:r w:rsidR="00626201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753B3F" w:rsidRP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لَا</w:t>
      </w:r>
      <w:r w:rsidR="00753B3F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يَحِلُّ</w:t>
      </w:r>
      <w:r w:rsidR="00753B3F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دَمُ</w:t>
      </w:r>
      <w:r w:rsidR="00753B3F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امْرِئٍ</w:t>
      </w:r>
      <w:r w:rsidR="00753B3F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مُسْلِم‏</w:t>
      </w:r>
      <w:r w:rsidR="00626201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484DE6" w:rsidRPr="004F02D0">
        <w:rPr>
          <w:rStyle w:val="FootnoteReference"/>
          <w:rFonts w:ascii="IRBadr" w:hAnsi="IRBadr" w:cs="IRBadr"/>
          <w:b/>
          <w:bCs/>
          <w:color w:val="000000" w:themeColor="text1"/>
          <w:sz w:val="32"/>
          <w:szCs w:val="32"/>
          <w:rtl/>
        </w:rPr>
        <w:footnoteReference w:id="1"/>
      </w:r>
    </w:p>
    <w:p w:rsidR="00283128" w:rsidRPr="004F02D0" w:rsidRDefault="00484DE6" w:rsidP="00780A8C">
      <w:pPr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4F02D0">
        <w:rPr>
          <w:rFonts w:ascii="IRBadr" w:hAnsi="IRBadr" w:cs="IRBadr"/>
          <w:color w:val="000000"/>
          <w:sz w:val="32"/>
          <w:szCs w:val="32"/>
          <w:rtl/>
        </w:rPr>
        <w:t>ا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ز این قاعده به حرمت دم مؤمن تعبیر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. قاعده حاضر اقتضا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خون مسلمان نباید ضایع شود مگر اینکه خود شارع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اجازه را داده باشد.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مواردی که در شریعت برای آنان حد در نظر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قاعده باید بگوییم ضمان وجود دارد و باید دیه پرداخت شود.</w:t>
      </w:r>
    </w:p>
    <w:p w:rsidR="00283128" w:rsidRPr="004F02D0" w:rsidRDefault="00283128" w:rsidP="00EB07EB">
      <w:pPr>
        <w:pStyle w:val="Heading3"/>
        <w:rPr>
          <w:rFonts w:ascii="IRBadr" w:hAnsi="IRBadr" w:cs="IRBadr"/>
          <w:rtl/>
        </w:rPr>
      </w:pPr>
      <w:bookmarkStart w:id="7" w:name="_Toc425844434"/>
      <w:r w:rsidRPr="004F02D0">
        <w:rPr>
          <w:rFonts w:ascii="IRBadr" w:hAnsi="IRBadr" w:cs="IRBadr"/>
          <w:rtl/>
        </w:rPr>
        <w:t>قاعده دوم</w:t>
      </w:r>
      <w:bookmarkEnd w:id="7"/>
    </w:p>
    <w:p w:rsidR="00484DE6" w:rsidRPr="00753B3F" w:rsidRDefault="00283128" w:rsidP="00753B3F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F02D0">
        <w:rPr>
          <w:rFonts w:ascii="IRBadr" w:hAnsi="IRBadr" w:cs="IRBadr"/>
          <w:sz w:val="28"/>
          <w:szCs w:val="28"/>
          <w:rtl/>
        </w:rPr>
        <w:t>قاعده دیگری که در این مقام وجود دارد،</w:t>
      </w:r>
      <w:r w:rsidR="00EE0CFD" w:rsidRPr="004F02D0">
        <w:rPr>
          <w:rFonts w:ascii="IRBadr" w:hAnsi="IRBadr" w:cs="IRBadr"/>
          <w:sz w:val="28"/>
          <w:szCs w:val="28"/>
          <w:rtl/>
        </w:rPr>
        <w:t xml:space="preserve"> </w:t>
      </w:r>
      <w:r w:rsidR="00D85A74" w:rsidRPr="00753B3F">
        <w:rPr>
          <w:rFonts w:ascii="IRBadr" w:hAnsi="IRBadr" w:cs="IRBadr"/>
          <w:sz w:val="28"/>
          <w:szCs w:val="28"/>
          <w:rtl/>
        </w:rPr>
        <w:t>این‌گونه</w:t>
      </w:r>
      <w:r w:rsidRPr="00753B3F">
        <w:rPr>
          <w:rFonts w:ascii="IRBadr" w:hAnsi="IRBadr" w:cs="IRBadr"/>
          <w:sz w:val="28"/>
          <w:szCs w:val="28"/>
          <w:rtl/>
        </w:rPr>
        <w:t xml:space="preserve"> است که؛</w:t>
      </w:r>
      <w:r w:rsidR="00484DE6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«ما عَلَ</w:t>
      </w:r>
      <w:r w:rsidR="00EE0CFD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84DE6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الْمُحْسِنِ</w:t>
      </w:r>
      <w:r w:rsidR="00EE0CFD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84DE6" w:rsidRP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</w:t>
      </w:r>
      <w:r w:rsidR="00484DE6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 سَبِ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84DE6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لٍ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753B3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(توبه/91)</w:t>
      </w:r>
    </w:p>
    <w:p w:rsidR="00283128" w:rsidRPr="004F02D0" w:rsidRDefault="00484DE6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راهی برای مؤاخذه انسان محس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>ن قرار داده نشده است.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چنانچه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جایگاه احصان بود،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نباید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فرد را مؤاخذه و جریمه نمود.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مقتضای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قاعده فوق در اینجا این است که؛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فردی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مجری دادگاه اسلامی است،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حال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انجام‌وظیفه</w:t>
      </w:r>
      <w:r w:rsidR="00283128" w:rsidRPr="004F02D0">
        <w:rPr>
          <w:rFonts w:ascii="IRBadr" w:hAnsi="IRBadr" w:cs="IRBadr"/>
          <w:sz w:val="28"/>
          <w:szCs w:val="28"/>
          <w:rtl/>
          <w:lang w:bidi="fa-IR"/>
        </w:rPr>
        <w:t xml:space="preserve"> الهی خود است،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 ضمانی را بر ذمه او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. نتیجه این است که دیه باید از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 پرداخت گردد. البته همه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 فرع این است که فرد در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انجام‌وظیفه</w:t>
      </w:r>
      <w:r w:rsidR="00C16CDC" w:rsidRPr="004F02D0">
        <w:rPr>
          <w:rFonts w:ascii="IRBadr" w:hAnsi="IRBadr" w:cs="IRBadr"/>
          <w:sz w:val="28"/>
          <w:szCs w:val="28"/>
          <w:rtl/>
          <w:lang w:bidi="fa-IR"/>
        </w:rPr>
        <w:t xml:space="preserve"> خود تقصیری به خرج نداده باشد.</w:t>
      </w:r>
    </w:p>
    <w:p w:rsidR="00283128" w:rsidRPr="004F02D0" w:rsidRDefault="00C16CDC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باملاحظه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دو قاعده باید به قول چهارم قائل شد،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حقیقت این قول است که طبق نظر ما صحیح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استدلال از این آیه بر قول اول صحیح نبوده و هرگز بر نفی مطلق دیه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نمی‌نماید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83128" w:rsidRPr="004F02D0" w:rsidRDefault="00D85A74" w:rsidP="00EB07EB">
      <w:pPr>
        <w:pStyle w:val="Heading3"/>
        <w:rPr>
          <w:rFonts w:ascii="IRBadr" w:hAnsi="IRBadr" w:cs="IRBadr"/>
          <w:rtl/>
        </w:rPr>
      </w:pPr>
      <w:r w:rsidRPr="004F02D0">
        <w:rPr>
          <w:rFonts w:ascii="IRBadr" w:hAnsi="IRBadr" w:cs="IRBadr"/>
          <w:rtl/>
        </w:rPr>
        <w:t>جمع‌بندی</w:t>
      </w:r>
    </w:p>
    <w:p w:rsidR="00C16CDC" w:rsidRPr="004F02D0" w:rsidRDefault="00C16CDC" w:rsidP="00EB07EB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4F02D0">
        <w:rPr>
          <w:rFonts w:ascii="IRBadr" w:hAnsi="IRBadr" w:cs="IRBadr"/>
          <w:sz w:val="28"/>
          <w:szCs w:val="28"/>
          <w:rtl/>
        </w:rPr>
        <w:t>پس حاصل کلام این است که،</w:t>
      </w:r>
      <w:r w:rsidR="00EE0CFD" w:rsidRPr="004F02D0">
        <w:rPr>
          <w:rFonts w:ascii="IRBadr" w:hAnsi="IRBadr" w:cs="IRBadr"/>
          <w:sz w:val="28"/>
          <w:szCs w:val="28"/>
          <w:rtl/>
        </w:rPr>
        <w:t xml:space="preserve"> دو</w:t>
      </w:r>
      <w:r w:rsidRPr="004F02D0">
        <w:rPr>
          <w:rFonts w:ascii="IRBadr" w:hAnsi="IRBadr" w:cs="IRBadr"/>
          <w:sz w:val="28"/>
          <w:szCs w:val="28"/>
          <w:rtl/>
        </w:rPr>
        <w:t xml:space="preserve"> قاعده در این مقام وجود دارد،</w:t>
      </w:r>
      <w:r w:rsidR="00EE0CFD" w:rsidRPr="004F02D0">
        <w:rPr>
          <w:rFonts w:ascii="IRBadr" w:hAnsi="IRBadr" w:cs="IRBadr"/>
          <w:sz w:val="28"/>
          <w:szCs w:val="28"/>
          <w:rtl/>
        </w:rPr>
        <w:t xml:space="preserve"> قاعده</w:t>
      </w:r>
      <w:r w:rsidRPr="004F02D0">
        <w:rPr>
          <w:rFonts w:ascii="IRBadr" w:hAnsi="IRBadr" w:cs="IRBadr"/>
          <w:sz w:val="28"/>
          <w:szCs w:val="28"/>
          <w:rtl/>
        </w:rPr>
        <w:t xml:space="preserve"> حرمت دم مؤمن و قاعده نفی سبیل. و تفصیلی که در قول </w:t>
      </w:r>
      <w:r w:rsidR="00D85A74" w:rsidRPr="004F02D0">
        <w:rPr>
          <w:rFonts w:ascii="IRBadr" w:hAnsi="IRBadr" w:cs="IRBadr"/>
          <w:sz w:val="28"/>
          <w:szCs w:val="28"/>
          <w:rtl/>
        </w:rPr>
        <w:t>چهارم</w:t>
      </w:r>
      <w:r w:rsidRPr="004F02D0">
        <w:rPr>
          <w:rFonts w:ascii="IRBadr" w:hAnsi="IRBadr" w:cs="IRBadr"/>
          <w:sz w:val="28"/>
          <w:szCs w:val="28"/>
          <w:rtl/>
        </w:rPr>
        <w:t xml:space="preserve"> بیان شد،</w:t>
      </w:r>
      <w:r w:rsidR="00EE0CFD" w:rsidRPr="004F02D0">
        <w:rPr>
          <w:rFonts w:ascii="IRBadr" w:hAnsi="IRBadr" w:cs="IRBadr"/>
          <w:sz w:val="28"/>
          <w:szCs w:val="28"/>
          <w:rtl/>
        </w:rPr>
        <w:t xml:space="preserve"> قول</w:t>
      </w:r>
      <w:r w:rsidRPr="004F02D0">
        <w:rPr>
          <w:rFonts w:ascii="IRBadr" w:hAnsi="IRBadr" w:cs="IRBadr"/>
          <w:sz w:val="28"/>
          <w:szCs w:val="28"/>
          <w:rtl/>
        </w:rPr>
        <w:t xml:space="preserve"> صحیح </w:t>
      </w:r>
      <w:r w:rsidR="00D85A74" w:rsidRPr="004F02D0">
        <w:rPr>
          <w:rFonts w:ascii="IRBadr" w:hAnsi="IRBadr" w:cs="IRBadr"/>
          <w:sz w:val="28"/>
          <w:szCs w:val="28"/>
          <w:rtl/>
        </w:rPr>
        <w:t>هست</w:t>
      </w:r>
      <w:r w:rsidRPr="004F02D0">
        <w:rPr>
          <w:rFonts w:ascii="IRBadr" w:hAnsi="IRBadr" w:cs="IRBadr"/>
          <w:sz w:val="28"/>
          <w:szCs w:val="28"/>
          <w:rtl/>
        </w:rPr>
        <w:t>.</w:t>
      </w:r>
      <w:r w:rsidR="00EE0CFD" w:rsidRPr="004F02D0">
        <w:rPr>
          <w:rFonts w:ascii="IRBadr" w:hAnsi="IRBadr" w:cs="IRBadr"/>
          <w:sz w:val="28"/>
          <w:szCs w:val="28"/>
          <w:rtl/>
        </w:rPr>
        <w:t xml:space="preserve"> در</w:t>
      </w:r>
      <w:r w:rsidRPr="004F02D0">
        <w:rPr>
          <w:rFonts w:ascii="IRBadr" w:hAnsi="IRBadr" w:cs="IRBadr"/>
          <w:sz w:val="28"/>
          <w:szCs w:val="28"/>
          <w:rtl/>
        </w:rPr>
        <w:t xml:space="preserve"> مواردی که کلمه حد وجود دارد و تعزیر را دربر </w:t>
      </w:r>
      <w:r w:rsidR="00EE0CFD" w:rsidRPr="004F02D0">
        <w:rPr>
          <w:rFonts w:ascii="IRBadr" w:hAnsi="IRBadr" w:cs="IRBadr"/>
          <w:sz w:val="28"/>
          <w:szCs w:val="28"/>
          <w:rtl/>
        </w:rPr>
        <w:t>نمی‌گیرد</w:t>
      </w:r>
      <w:r w:rsidRPr="004F02D0">
        <w:rPr>
          <w:rFonts w:ascii="IRBadr" w:hAnsi="IRBadr" w:cs="IRBadr"/>
          <w:sz w:val="28"/>
          <w:szCs w:val="28"/>
          <w:rtl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</w:rPr>
        <w:t>قرینه‌ای</w:t>
      </w:r>
      <w:r w:rsidRPr="004F02D0">
        <w:rPr>
          <w:rFonts w:ascii="IRBadr" w:hAnsi="IRBadr" w:cs="IRBadr"/>
          <w:sz w:val="28"/>
          <w:szCs w:val="28"/>
          <w:rtl/>
        </w:rPr>
        <w:t xml:space="preserve"> مسلم وجود دارد.</w:t>
      </w:r>
    </w:p>
    <w:p w:rsidR="00C16CDC" w:rsidRPr="004F02D0" w:rsidRDefault="00C16CDC" w:rsidP="002C3080">
      <w:pPr>
        <w:pStyle w:val="Heading4"/>
        <w:rPr>
          <w:rtl/>
        </w:rPr>
      </w:pPr>
      <w:bookmarkStart w:id="8" w:name="_Toc425844436"/>
      <w:r w:rsidRPr="004F02D0">
        <w:rPr>
          <w:rtl/>
        </w:rPr>
        <w:lastRenderedPageBreak/>
        <w:t>آداب اجرای حد</w:t>
      </w:r>
      <w:bookmarkEnd w:id="8"/>
    </w:p>
    <w:p w:rsidR="00C16CDC" w:rsidRPr="004F02D0" w:rsidRDefault="00D85A74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آداب حد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اختلاف‌نظری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وجود دارد،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753B3F">
        <w:rPr>
          <w:rFonts w:ascii="IRBadr" w:hAnsi="IRBadr" w:cs="IRBadr"/>
          <w:sz w:val="28"/>
          <w:szCs w:val="28"/>
          <w:rtl/>
          <w:lang w:bidi="fa-IR"/>
        </w:rPr>
        <w:t>تحریرالوسیله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امام،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تنظیم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بهتری در این زمینه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ولی هنوز جای تنظیم بهتر و اصلاح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به‌هم‌ریختگی‌ها</w:t>
      </w:r>
      <w:r w:rsidR="00555226" w:rsidRPr="004F02D0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555226" w:rsidRPr="004F02D0" w:rsidRDefault="00555226" w:rsidP="002C3080">
      <w:pPr>
        <w:pStyle w:val="Heading4"/>
        <w:rPr>
          <w:rtl/>
        </w:rPr>
      </w:pPr>
      <w:bookmarkStart w:id="9" w:name="_Toc425844437"/>
      <w:r w:rsidRPr="004F02D0">
        <w:rPr>
          <w:rtl/>
        </w:rPr>
        <w:t>اعلام به حضور</w:t>
      </w:r>
      <w:bookmarkEnd w:id="9"/>
    </w:p>
    <w:p w:rsidR="00555226" w:rsidRPr="004F02D0" w:rsidRDefault="00555226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در باب اعلام حضور در اجرای حد مشهور فتوا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مستحب است در هنگام اجرای حد اعلام صورت بگیرد،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برخی برای تماشا و برخی برای نظارت حاضر شوند.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زمینه قول به وجوب نیز وجود دارد،</w:t>
      </w:r>
    </w:p>
    <w:p w:rsidR="00D532ED" w:rsidRPr="004F02D0" w:rsidRDefault="00D532ED" w:rsidP="002C3080">
      <w:pPr>
        <w:pStyle w:val="Heading4"/>
        <w:rPr>
          <w:rtl/>
        </w:rPr>
      </w:pPr>
      <w:bookmarkStart w:id="10" w:name="_Toc425844438"/>
      <w:r w:rsidRPr="004F02D0">
        <w:rPr>
          <w:rtl/>
        </w:rPr>
        <w:t>لزوم شرکت در مراسم اجرا</w:t>
      </w:r>
      <w:bookmarkEnd w:id="10"/>
    </w:p>
    <w:p w:rsidR="00732C9F" w:rsidRPr="004F02D0" w:rsidRDefault="00D85A74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بعدازاین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 xml:space="preserve"> سؤال پیش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آیا پس از اعلام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 xml:space="preserve"> شرکت کردن مردم امری الزامی ا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 xml:space="preserve">ست یا ترجیح شرکت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 xml:space="preserve"> وجود دارد؟</w:t>
      </w:r>
    </w:p>
    <w:p w:rsidR="00D532ED" w:rsidRPr="004F02D0" w:rsidRDefault="00732C9F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این بحث با علنی یا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غیرعلنی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بودن حد ارتباط تنگاتنگی دارد که در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گذشته در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روزنامه‌ها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و مجامع سیاسی محل گفتگو بود.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فوق آراء متعددی وجود دارد،</w:t>
      </w:r>
      <w:r w:rsidR="00D532ED" w:rsidRPr="004F02D0">
        <w:rPr>
          <w:rFonts w:ascii="IRBadr" w:hAnsi="IRBadr" w:cs="IRBadr"/>
          <w:sz w:val="28"/>
          <w:szCs w:val="28"/>
          <w:rtl/>
          <w:lang w:bidi="fa-IR"/>
        </w:rPr>
        <w:t>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میان شیعه و سنی برخی قائل به وجوب و برخی قائل به استحباب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32C9F" w:rsidRPr="004F02D0" w:rsidRDefault="00CD6605" w:rsidP="002C3080">
      <w:pPr>
        <w:pStyle w:val="Heading4"/>
        <w:rPr>
          <w:rtl/>
        </w:rPr>
      </w:pPr>
      <w:bookmarkStart w:id="11" w:name="_Toc425844439"/>
      <w:r w:rsidRPr="004F02D0">
        <w:rPr>
          <w:rtl/>
        </w:rPr>
        <w:t>جهات دیگر</w:t>
      </w:r>
      <w:r w:rsidR="00732C9F" w:rsidRPr="004F02D0">
        <w:rPr>
          <w:rtl/>
        </w:rPr>
        <w:t xml:space="preserve"> در این مقام</w:t>
      </w:r>
      <w:bookmarkEnd w:id="11"/>
    </w:p>
    <w:p w:rsidR="00732C9F" w:rsidRPr="004F02D0" w:rsidRDefault="00EE0CFD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فتوا به وجوب حضور در این زمینه را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 xml:space="preserve"> سؤال پیش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732C9F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BA376A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وجوب به نحو کفایی یا عینی است؟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برفرض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ثبات وجود افراد دیگر در حین اجرای حد از جهت تعداد نیز اختلافاتی وجود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آرد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یک نفر کافی است یا باید تعداد زیادتری شرکت نمایند؟ در کنار این مباحثی نیز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است که به وظیفه حاکم </w:t>
      </w:r>
      <w:r w:rsidR="00753B3F">
        <w:rPr>
          <w:rFonts w:ascii="IRBadr" w:hAnsi="IRBadr" w:cs="IRBadr"/>
          <w:sz w:val="28"/>
          <w:szCs w:val="28"/>
          <w:rtl/>
          <w:lang w:bidi="fa-IR"/>
        </w:rPr>
        <w:t>و مجری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می‌پردازد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753B3F">
        <w:rPr>
          <w:rFonts w:ascii="IRBadr" w:hAnsi="IRBadr" w:cs="IRBadr"/>
          <w:sz w:val="28"/>
          <w:szCs w:val="28"/>
          <w:rtl/>
          <w:lang w:bidi="fa-IR"/>
        </w:rPr>
        <w:t>انشاءالله</w:t>
      </w:r>
      <w:r w:rsidR="00CD6605"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مباحث آینده بیان خواهد شد.</w:t>
      </w:r>
    </w:p>
    <w:p w:rsidR="00CD6605" w:rsidRPr="004F02D0" w:rsidRDefault="001A7E3F" w:rsidP="002C3080">
      <w:pPr>
        <w:pStyle w:val="Heading4"/>
        <w:rPr>
          <w:rtl/>
        </w:rPr>
      </w:pPr>
      <w:bookmarkStart w:id="12" w:name="_Toc425844440"/>
      <w:r w:rsidRPr="004F02D0">
        <w:rPr>
          <w:rtl/>
        </w:rPr>
        <w:t>مستندات بحث</w:t>
      </w:r>
      <w:bookmarkEnd w:id="12"/>
    </w:p>
    <w:p w:rsidR="001A7E3F" w:rsidRPr="004F02D0" w:rsidRDefault="001A7E3F" w:rsidP="002C3080">
      <w:pPr>
        <w:pStyle w:val="Heading4"/>
        <w:rPr>
          <w:rtl/>
        </w:rPr>
      </w:pPr>
      <w:bookmarkStart w:id="13" w:name="_Toc425844441"/>
      <w:r w:rsidRPr="004F02D0">
        <w:rPr>
          <w:rtl/>
        </w:rPr>
        <w:t>روایت اول</w:t>
      </w:r>
      <w:bookmarkEnd w:id="13"/>
    </w:p>
    <w:p w:rsidR="001A7E3F" w:rsidRPr="004F02D0" w:rsidRDefault="001A7E3F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این روایت از حیث سندی با مشکل مواجه است،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علی بن حمزه بطائنی و عمران بن میثم یا صالح بن میثم و پدرشان قرار دارد که توثیقی ندارند؛</w:t>
      </w:r>
    </w:p>
    <w:p w:rsidR="007B16EF" w:rsidRPr="004F02D0" w:rsidRDefault="007B16EF" w:rsidP="00EB07EB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عَلِ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مَحْبُوبٍ عَنْ عَلِ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حَمْزَةَ عَنْ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بَصِ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عِمْرَانَ بْنِ مِ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ثَمٍ أَوْ صَالِحِ بْنِ مِ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ثَمٍ عَنْ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أَنَّ امْرَأَةً أَقَرَّتْ عِنْدَ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بِالزِّنَا أَرْبَعَ مَرَّاتٍ- فَأَمَرَ قَنْبَرَ فَنَادَ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بِالنَّاسِ فَاجْتَمَعُوا- وَ قَامَ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فَحَمِدَ اللَّهَ وَ أَثْنَ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هِ- ثُمَّ قَالَ أَ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النَّاسُ إِنَّ إِمَامَ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مْ- خَارِجٌ بِهَذِهِ الْمَرْأَةِ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هَذَا الظَّهْرِ- لِ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الْحَدَّ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انشاءالله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فَعَزَمَ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لَمَّا خَرَجْتُمْ- وَ أَنْتُمْ مُتَنَ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رُونَ وَ مَعَ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أَحْجَارُ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مْ- 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تَعَرَّفُ مِنْ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أَحَدٌ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أَحَدٍ- فَانْصَرِفُوا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مَنَازِلِ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انشاءالله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قَالَ ثُمَّ نَزَلَ فَلَمَّا أَصْبَحَ النَّاسُ بُ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رَةً- خَرَجَ بِالْمَرْأَةِ وَ خَرَجَ النَّاسُ مَعَهُ مُتَنَ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نَ- مُتَلَثِّمِ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بِعَمَائِمِهِمْ وَ بِأَرْدِ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تِهِمْ- وَ الْحِجَارَةُ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أَرْدِ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تِهِمْ وَ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مَامِهِمْ- حَتَّ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انْتَهَ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بِهَا وَ النَّاسُ مَعَهُ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الظَّهْرِ بِالْ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وفَةِ- فَأَمَرَ أَنْ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حْفَرَ لَهَا حَفِ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رَةٌ ثُمَّ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دفن‌ها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ثُمَّ رَ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بَ بَغْلَتَهُ وَ أَثْبَتَ رِجْلَهُ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غَرْزِ الرَّ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بِ- ثُمَّ وَضَعَ إِصْبَعَ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السَّبَّابَتَ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أُذُنَ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هِ- وَ نَادَ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بِأَعْلَ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صَوْتِهِ أَ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النَّاسُ- إِنَّ اللَّهَ عَهِدَ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ص عَهْداً عَهِدَهُ مُحَمَّدٌ ص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- بِأَنَّهُ 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الْحَدَّ مَنْ لِلَّهِ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حَدٌّ- فَمَنْ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لِلَّهِ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مِثْلُ مَا لَهُ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هَا- فَلَا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الْحَدَّ- قَالَ فَانْصَرَفَ النَّاسُ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وْمَئِذٍ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لُّهُمْ- مَا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خلأ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الْحَسَنَ وَ الْحُسَ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ع- فَأَقَامَ هَؤُلَاءِ الثَّلَاثَةُ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الْحَدَّ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وْمَئِذٍ- وَ مَا مَعَهُمْ غَ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رُهُمْ قَالَ- وَ انْصَرَفَ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وْمَئِذٍ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مَنِ انْصَرَفَ مُحَمَّدُ بْنُ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ع»</w:t>
      </w:r>
      <w:r w:rsidRPr="004F02D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1A7E3F" w:rsidRPr="004F02D0" w:rsidRDefault="00D85A74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="001A7E3F" w:rsidRPr="004F02D0">
        <w:rPr>
          <w:rFonts w:ascii="IRBadr" w:hAnsi="IRBadr" w:cs="IRBadr"/>
          <w:sz w:val="28"/>
          <w:szCs w:val="28"/>
          <w:rtl/>
          <w:lang w:bidi="fa-IR"/>
        </w:rPr>
        <w:t xml:space="preserve"> چهار بار اقرار صورت گرفت،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امیرالمؤمنین</w:t>
      </w:r>
      <w:r w:rsidR="001A7E3F" w:rsidRPr="004F02D0">
        <w:rPr>
          <w:rFonts w:ascii="IRBadr" w:hAnsi="IRBadr" w:cs="IRBadr"/>
          <w:sz w:val="28"/>
          <w:szCs w:val="28"/>
          <w:rtl/>
          <w:lang w:bidi="fa-IR"/>
        </w:rPr>
        <w:t xml:space="preserve"> فرمود اعلام کنید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1A7E3F" w:rsidRPr="004F02D0">
        <w:rPr>
          <w:rFonts w:ascii="IRBadr" w:hAnsi="IRBadr" w:cs="IRBadr"/>
          <w:sz w:val="28"/>
          <w:szCs w:val="28"/>
          <w:rtl/>
          <w:lang w:bidi="fa-IR"/>
        </w:rPr>
        <w:t xml:space="preserve"> حد صورت بگیرد.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پس‌ازاینکه</w:t>
      </w:r>
      <w:r w:rsidR="001A7E3F" w:rsidRPr="004F02D0">
        <w:rPr>
          <w:rFonts w:ascii="IRBadr" w:hAnsi="IRBadr" w:cs="IRBadr"/>
          <w:sz w:val="28"/>
          <w:szCs w:val="28"/>
          <w:rtl/>
          <w:lang w:bidi="fa-IR"/>
        </w:rPr>
        <w:t xml:space="preserve"> حمد و ثنای الهی را 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1A7E3F" w:rsidRPr="004F02D0">
        <w:rPr>
          <w:rFonts w:ascii="IRBadr" w:hAnsi="IRBadr" w:cs="IRBadr"/>
          <w:sz w:val="28"/>
          <w:szCs w:val="28"/>
          <w:rtl/>
          <w:lang w:bidi="fa-IR"/>
        </w:rPr>
        <w:t xml:space="preserve"> آورد،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فرمودند</w:t>
      </w:r>
      <w:r w:rsidR="00933643" w:rsidRPr="004F02D0">
        <w:rPr>
          <w:rFonts w:ascii="IRBadr" w:hAnsi="IRBadr" w:cs="IRBadr"/>
          <w:sz w:val="28"/>
          <w:szCs w:val="28"/>
          <w:rtl/>
          <w:lang w:bidi="fa-IR"/>
        </w:rPr>
        <w:t xml:space="preserve"> خداوند همان امری که به رسول خود نموده بود همان امر را با من نموده است.</w:t>
      </w:r>
    </w:p>
    <w:p w:rsidR="00933643" w:rsidRPr="004F02D0" w:rsidRDefault="00933643" w:rsidP="002C3080">
      <w:pPr>
        <w:pStyle w:val="Heading4"/>
        <w:rPr>
          <w:rtl/>
        </w:rPr>
      </w:pPr>
      <w:bookmarkStart w:id="14" w:name="_Toc425844442"/>
      <w:r w:rsidRPr="004F02D0">
        <w:rPr>
          <w:rtl/>
        </w:rPr>
        <w:t>اسناد دیگر روایت</w:t>
      </w:r>
      <w:bookmarkEnd w:id="14"/>
    </w:p>
    <w:p w:rsidR="00933643" w:rsidRPr="004F02D0" w:rsidRDefault="00933643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روایت فوق سندهای دیگری نیز دارد که بعضی از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5A74" w:rsidRPr="004F02D0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هستند.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سندان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در اصول کافی بدین ترتیب است که؛ 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>عن عده من اصحابنا عن احمد بن محمد عن محمد بن خالد عن خلف بن حماد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، این سند ظاهراً معتبر است.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دیگر از جانب مرحوم صدوق است؛ 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>باسناده عن الحسن بن محبوب عن احمد بن محمد عن محمد بن خالد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>،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 xml:space="preserve"> این هم ظاهراً سندش درست است. در محاسن برقی هم سندی است که آن ضعیف است.</w:t>
      </w:r>
    </w:p>
    <w:p w:rsidR="00933643" w:rsidRPr="004F02D0" w:rsidRDefault="00933643" w:rsidP="002C3080">
      <w:pPr>
        <w:pStyle w:val="Heading4"/>
        <w:rPr>
          <w:rtl/>
        </w:rPr>
      </w:pPr>
      <w:bookmarkStart w:id="15" w:name="_Toc425844443"/>
      <w:r w:rsidRPr="004F02D0">
        <w:rPr>
          <w:rtl/>
        </w:rPr>
        <w:t>روایت دوم</w:t>
      </w:r>
      <w:bookmarkEnd w:id="15"/>
    </w:p>
    <w:p w:rsidR="00933643" w:rsidRPr="004F02D0" w:rsidRDefault="00933643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روایت دوم در این مقام که از سند مطلوبی هم برخوردار است، بدین ترتیب است؛</w:t>
      </w:r>
    </w:p>
    <w:p w:rsidR="007B16EF" w:rsidRPr="004F02D0" w:rsidRDefault="007B16EF" w:rsidP="00EB07EB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«وَ عَنْ عَلِ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عَمَّنْ رَوَاهُ عَنْ أَبِ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قَالَ: أُتِ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بِرَجُلٍ قَدْ أَقَرَّ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نَفْسِهِ بِالْفُجُورِ- فَقَالَ </w:t>
      </w:r>
      <w:r w:rsidR="00753B3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لِأَصْحَابِهِ- اغْدُوا غَداً عَلَ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مُتَلَثِّمِ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نَ- فَقَالَ لَهُمْ مَنْ فَعَلَ مِثْلَ فِعْلِهِ فَلَا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رْجُمْهُ وَ لْ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نْصَرِفْ- قَالَ فَانْصَرَفَ بَعْضُهُمْ وَ بَقِ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بَعْضُهُمْ- فَرَجَمَهُ مَنْ بَقِ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مِنْهُمْ.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4F02D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933643" w:rsidRPr="002C3080" w:rsidRDefault="00933643" w:rsidP="002C3080">
      <w:pPr>
        <w:pStyle w:val="Heading4"/>
        <w:rPr>
          <w:rtl/>
        </w:rPr>
      </w:pPr>
      <w:bookmarkStart w:id="17" w:name="_Toc425844444"/>
      <w:r w:rsidRPr="002C3080">
        <w:rPr>
          <w:rtl/>
        </w:rPr>
        <w:t>روایت سوم</w:t>
      </w:r>
      <w:bookmarkEnd w:id="17"/>
    </w:p>
    <w:p w:rsidR="00E24183" w:rsidRPr="004F02D0" w:rsidRDefault="00933643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روایت سوم در این باب که باز مربوط به سیره امیرالمؤمنین (ع) 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و این سند مرفوعه است ولی باز سند معتبر دارد. 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 xml:space="preserve">این هم روایت دیگری که باز سیره </w:t>
      </w:r>
      <w:r w:rsidR="00753B3F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24183" w:rsidRPr="004F02D0">
        <w:rPr>
          <w:rFonts w:ascii="IRBadr" w:hAnsi="IRBadr" w:cs="IRBadr"/>
          <w:sz w:val="28"/>
          <w:szCs w:val="28"/>
          <w:rtl/>
          <w:lang w:bidi="fa-IR"/>
        </w:rPr>
        <w:t>ع)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7CB3" w:rsidRPr="004F02D0">
        <w:rPr>
          <w:rFonts w:ascii="IRBadr" w:hAnsi="IRBadr" w:cs="IRBadr"/>
          <w:sz w:val="28"/>
          <w:szCs w:val="28"/>
          <w:rtl/>
          <w:lang w:bidi="fa-IR"/>
        </w:rPr>
        <w:t>نقل می‌شود.</w:t>
      </w:r>
    </w:p>
    <w:p w:rsidR="00E24183" w:rsidRPr="004F02D0" w:rsidRDefault="00E24183" w:rsidP="002C3080">
      <w:pPr>
        <w:pStyle w:val="Heading4"/>
        <w:rPr>
          <w:rtl/>
        </w:rPr>
      </w:pPr>
      <w:bookmarkStart w:id="18" w:name="_Toc425844445"/>
      <w:r w:rsidRPr="004F02D0">
        <w:rPr>
          <w:rtl/>
        </w:rPr>
        <w:t>روایت چهارم</w:t>
      </w:r>
      <w:bookmarkEnd w:id="18"/>
    </w:p>
    <w:p w:rsidR="00E24183" w:rsidRPr="004F02D0" w:rsidRDefault="00E24183" w:rsidP="00EB07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F02D0">
        <w:rPr>
          <w:rFonts w:ascii="IRBadr" w:hAnsi="IRBadr" w:cs="IRBadr"/>
          <w:sz w:val="28"/>
          <w:szCs w:val="28"/>
          <w:rtl/>
          <w:lang w:bidi="fa-IR"/>
        </w:rPr>
        <w:t>سند این روایت نیز بدون اشکال نیست؛</w:t>
      </w:r>
      <w:r w:rsidR="00EE0CFD" w:rsidRPr="004F02D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4F02D0">
        <w:rPr>
          <w:rFonts w:ascii="IRBadr" w:hAnsi="IRBadr" w:cs="IRBadr"/>
          <w:sz w:val="28"/>
          <w:szCs w:val="28"/>
          <w:rtl/>
          <w:lang w:bidi="fa-IR"/>
        </w:rPr>
        <w:t xml:space="preserve"> بنابر مبنای آقای فاضل و بروجردی قابل توجیه است که ما آن را قبول نداریم.</w:t>
      </w:r>
    </w:p>
    <w:p w:rsidR="00EB07EB" w:rsidRPr="004F02D0" w:rsidRDefault="00EB07EB" w:rsidP="00EB07EB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قَالَ الصَّادِقُ ع إِنَّ رَجُلًا جَاءَ إِلَ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ابْنِ مَرْ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 ع- فَقَالَ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رُوحَ اللَّهِ إِنِّ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زَنَ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تُ فَطَهِّرْنِ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فَأَمَرَ عِ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أَنْ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نَادَ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النَّاسِ- أَنْ 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بْقَ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أَحَدٌ إِلَّا خَرَجَ لِتَطْهِ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فُلَانٍ- فَلَمَّا اجْتَمَعَ النَّاسُ وَ صَارَ الرَّجُلُ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رَةِ- نَادَ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الرَّجُلُ لَا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حُدَّنِ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مَنْ لِلَّهِ فِ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جَنْبِهِ حَدٌّ- فَانْصَرَفَ النَّاسُ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لُّهُمْ إِلَّا 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عِ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الْحَدِ</w:t>
      </w:r>
      <w:r w:rsidR="00EE0CFD"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F02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ثَ.»</w:t>
      </w:r>
      <w:r w:rsidRPr="004F02D0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4F02D0">
        <w:rPr>
          <w:rStyle w:val="FootnoteReference"/>
          <w:rFonts w:ascii="IRBadr" w:hAnsi="IRBadr" w:cs="IRBadr"/>
          <w:color w:val="000000" w:themeColor="text1"/>
          <w:sz w:val="28"/>
          <w:szCs w:val="28"/>
          <w:rtl/>
        </w:rPr>
        <w:footnoteReference w:id="4"/>
      </w:r>
    </w:p>
    <w:p w:rsidR="00753B3F" w:rsidRDefault="00753B3F" w:rsidP="00EB07EB">
      <w:pPr>
        <w:bidi/>
        <w:jc w:val="both"/>
        <w:rPr>
          <w:rFonts w:ascii="IRBadr" w:hAnsi="IRBadr" w:cs="IRBadr"/>
          <w:rtl/>
          <w:lang w:bidi="fa-IR"/>
        </w:rPr>
      </w:pPr>
    </w:p>
    <w:p w:rsidR="00753B3F" w:rsidRP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753B3F" w:rsidRP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753B3F" w:rsidRP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753B3F" w:rsidRP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753B3F" w:rsidRP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753B3F" w:rsidRDefault="00753B3F" w:rsidP="00753B3F">
      <w:pPr>
        <w:bidi/>
        <w:rPr>
          <w:rFonts w:ascii="IRBadr" w:hAnsi="IRBadr" w:cs="IRBadr"/>
          <w:rtl/>
          <w:lang w:bidi="fa-IR"/>
        </w:rPr>
      </w:pPr>
    </w:p>
    <w:p w:rsidR="00152670" w:rsidRPr="00753B3F" w:rsidRDefault="00152670" w:rsidP="00753B3F">
      <w:pPr>
        <w:bidi/>
        <w:jc w:val="center"/>
        <w:rPr>
          <w:rFonts w:ascii="IRBadr" w:hAnsi="IRBadr" w:cs="IRBadr"/>
          <w:rtl/>
          <w:lang w:bidi="fa-IR"/>
        </w:rPr>
      </w:pPr>
    </w:p>
    <w:sectPr w:rsidR="00152670" w:rsidRPr="00753B3F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17" w:rsidRDefault="00F90D17" w:rsidP="000D5800">
      <w:pPr>
        <w:spacing w:after="0" w:line="240" w:lineRule="auto"/>
      </w:pPr>
      <w:r>
        <w:separator/>
      </w:r>
    </w:p>
  </w:endnote>
  <w:endnote w:type="continuationSeparator" w:id="0">
    <w:p w:rsidR="00F90D17" w:rsidRDefault="00F90D1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6273402"/>
      <w:docPartObj>
        <w:docPartGallery w:val="Page Numbers (Bottom of Page)"/>
        <w:docPartUnique/>
      </w:docPartObj>
    </w:sdtPr>
    <w:sdtContent>
      <w:p w:rsidR="00753B3F" w:rsidRDefault="00753B3F" w:rsidP="00753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8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17" w:rsidRDefault="00F90D17" w:rsidP="005F5C5B">
      <w:pPr>
        <w:bidi/>
        <w:spacing w:after="0" w:line="240" w:lineRule="auto"/>
      </w:pPr>
      <w:r>
        <w:separator/>
      </w:r>
    </w:p>
  </w:footnote>
  <w:footnote w:type="continuationSeparator" w:id="0">
    <w:p w:rsidR="00F90D17" w:rsidRDefault="00F90D17" w:rsidP="000D5800">
      <w:pPr>
        <w:spacing w:after="0" w:line="240" w:lineRule="auto"/>
      </w:pPr>
      <w:r>
        <w:continuationSeparator/>
      </w:r>
    </w:p>
  </w:footnote>
  <w:footnote w:id="1">
    <w:p w:rsidR="00484DE6" w:rsidRPr="00753B3F" w:rsidRDefault="00484DE6" w:rsidP="00753B3F">
      <w:pPr>
        <w:pStyle w:val="NormalWeb"/>
        <w:bidi/>
        <w:spacing w:before="0" w:beforeAutospacing="0" w:after="0" w:afterAutospacing="0"/>
        <w:rPr>
          <w:rFonts w:ascii="IRBadr" w:hAnsi="IRBadr" w:cs="IRBadr"/>
          <w:b/>
          <w:bCs/>
          <w:sz w:val="20"/>
          <w:szCs w:val="20"/>
          <w:rtl/>
        </w:rPr>
      </w:pPr>
      <w:r w:rsidRPr="00753B3F">
        <w:rPr>
          <w:rStyle w:val="FootnoteReference"/>
          <w:rFonts w:ascii="IRBadr" w:hAnsi="IRBadr" w:cs="IRBadr"/>
          <w:b/>
          <w:bCs/>
          <w:sz w:val="20"/>
          <w:szCs w:val="20"/>
        </w:rPr>
        <w:footnoteRef/>
      </w:r>
      <w:r w:rsidRPr="00753B3F">
        <w:rPr>
          <w:rFonts w:ascii="IRBadr" w:hAnsi="IRBadr" w:cs="IRBadr"/>
          <w:b/>
          <w:bCs/>
          <w:sz w:val="20"/>
          <w:szCs w:val="20"/>
          <w:rtl/>
        </w:rPr>
        <w:t xml:space="preserve"> </w:t>
      </w:r>
      <w:r w:rsidR="00753B3F">
        <w:rPr>
          <w:rFonts w:ascii="IRBadr" w:hAnsi="IRBadr" w:cs="IRBadr" w:hint="cs"/>
          <w:b/>
          <w:bCs/>
          <w:color w:val="000000"/>
          <w:sz w:val="20"/>
          <w:szCs w:val="20"/>
          <w:rtl/>
        </w:rPr>
        <w:t>-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 xml:space="preserve">  </w:t>
      </w:r>
      <w:r w:rsidR="00753B3F" w:rsidRPr="00753B3F">
        <w:rPr>
          <w:rFonts w:ascii="IRBadr" w:hAnsi="IRBadr" w:cs="IRBadr" w:hint="cs"/>
          <w:b/>
          <w:bCs/>
          <w:sz w:val="20"/>
          <w:szCs w:val="20"/>
          <w:rtl/>
        </w:rPr>
        <w:t>وسائل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sz w:val="20"/>
          <w:szCs w:val="20"/>
          <w:rtl/>
        </w:rPr>
        <w:t>الشيعة،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sz w:val="20"/>
          <w:szCs w:val="20"/>
          <w:rtl/>
        </w:rPr>
        <w:t>ج‏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>5</w:t>
      </w:r>
      <w:r w:rsidR="00753B3F" w:rsidRPr="00753B3F">
        <w:rPr>
          <w:rFonts w:ascii="IRBadr" w:hAnsi="IRBadr" w:cs="IRBadr" w:hint="cs"/>
          <w:b/>
          <w:bCs/>
          <w:sz w:val="20"/>
          <w:szCs w:val="20"/>
          <w:rtl/>
        </w:rPr>
        <w:t>،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 xml:space="preserve"> </w:t>
      </w:r>
      <w:r w:rsidR="00753B3F" w:rsidRPr="00753B3F">
        <w:rPr>
          <w:rFonts w:ascii="IRBadr" w:hAnsi="IRBadr" w:cs="IRBadr" w:hint="cs"/>
          <w:b/>
          <w:bCs/>
          <w:sz w:val="20"/>
          <w:szCs w:val="20"/>
          <w:rtl/>
        </w:rPr>
        <w:t>ص</w:t>
      </w:r>
      <w:r w:rsidR="00753B3F" w:rsidRPr="00753B3F">
        <w:rPr>
          <w:rFonts w:ascii="IRBadr" w:hAnsi="IRBadr" w:cs="IRBadr"/>
          <w:b/>
          <w:bCs/>
          <w:sz w:val="20"/>
          <w:szCs w:val="20"/>
          <w:rtl/>
        </w:rPr>
        <w:t>: 120</w:t>
      </w:r>
      <w:r w:rsidR="00753B3F">
        <w:rPr>
          <w:rFonts w:ascii="IRBadr" w:hAnsi="IRBadr" w:cs="IRBadr" w:hint="cs"/>
          <w:b/>
          <w:bCs/>
          <w:sz w:val="20"/>
          <w:szCs w:val="20"/>
          <w:rtl/>
        </w:rPr>
        <w:t>.</w:t>
      </w:r>
    </w:p>
  </w:footnote>
  <w:footnote w:id="2">
    <w:p w:rsidR="007B16EF" w:rsidRPr="00753B3F" w:rsidRDefault="00EB07EB" w:rsidP="00753B3F">
      <w:pPr>
        <w:pStyle w:val="FootnoteText"/>
        <w:ind w:firstLine="0"/>
        <w:rPr>
          <w:rFonts w:ascii="IRBadr" w:hAnsi="IRBadr" w:cs="IRBadr"/>
          <w:b/>
          <w:bCs/>
          <w:color w:val="000000"/>
          <w:rtl/>
        </w:rPr>
      </w:pPr>
      <w:r w:rsidRPr="00753B3F">
        <w:rPr>
          <w:rStyle w:val="FootnoteReference"/>
          <w:rFonts w:ascii="IRBadr" w:hAnsi="IRBadr" w:cs="IRBadr"/>
          <w:b/>
          <w:bCs/>
          <w:rtl/>
        </w:rPr>
        <w:t>3</w:t>
      </w:r>
      <w:r w:rsidR="007B16EF" w:rsidRPr="00753B3F">
        <w:rPr>
          <w:rFonts w:ascii="IRBadr" w:hAnsi="IRBadr" w:cs="IRBadr"/>
          <w:b/>
          <w:bCs/>
          <w:rtl/>
        </w:rPr>
        <w:t xml:space="preserve"> </w:t>
      </w:r>
      <w:r w:rsidR="00753B3F">
        <w:rPr>
          <w:rFonts w:ascii="IRBadr" w:hAnsi="IRBadr" w:cs="IRBadr" w:hint="cs"/>
          <w:b/>
          <w:bCs/>
          <w:rtl/>
        </w:rPr>
        <w:t xml:space="preserve">- </w:t>
      </w:r>
      <w:r w:rsidR="007B16EF" w:rsidRPr="00753B3F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EE0CFD" w:rsidRPr="00753B3F">
        <w:rPr>
          <w:rFonts w:ascii="IRBadr" w:hAnsi="IRBadr" w:cs="IRBadr"/>
          <w:b/>
          <w:bCs/>
          <w:color w:val="000000" w:themeColor="text1"/>
          <w:rtl/>
        </w:rPr>
        <w:t>ی</w:t>
      </w:r>
      <w:r w:rsidR="007B16EF" w:rsidRPr="00753B3F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EE0CFD" w:rsidRPr="00753B3F">
        <w:rPr>
          <w:rFonts w:ascii="IRBadr" w:hAnsi="IRBadr" w:cs="IRBadr"/>
          <w:b/>
          <w:bCs/>
          <w:color w:val="000000" w:themeColor="text1"/>
          <w:rtl/>
        </w:rPr>
        <w:t>ج</w:t>
      </w:r>
      <w:r w:rsidR="007B16EF" w:rsidRPr="00753B3F">
        <w:rPr>
          <w:rFonts w:ascii="IRBadr" w:hAnsi="IRBadr" w:cs="IRBadr"/>
          <w:b/>
          <w:bCs/>
          <w:color w:val="000000" w:themeColor="text1"/>
          <w:rtl/>
        </w:rPr>
        <w:t>28، ص: 54</w:t>
      </w:r>
      <w:r w:rsidR="00753B3F">
        <w:rPr>
          <w:rFonts w:ascii="IRBadr" w:hAnsi="IRBadr" w:cs="IRBadr" w:hint="cs"/>
          <w:b/>
          <w:bCs/>
          <w:color w:val="000000"/>
          <w:rtl/>
        </w:rPr>
        <w:t>.</w:t>
      </w:r>
    </w:p>
    <w:p w:rsidR="007B16EF" w:rsidRPr="00753B3F" w:rsidRDefault="00EB07EB" w:rsidP="00753B3F">
      <w:pPr>
        <w:pStyle w:val="NormalWeb"/>
        <w:bidi/>
        <w:spacing w:before="0" w:beforeAutospacing="0" w:after="0" w:afterAutospacing="0"/>
        <w:rPr>
          <w:rFonts w:ascii="IRBadr" w:hAnsi="IRBadr" w:cs="IRBadr"/>
          <w:b/>
          <w:bCs/>
          <w:color w:val="000000"/>
          <w:sz w:val="20"/>
          <w:szCs w:val="20"/>
          <w:rtl/>
        </w:rPr>
      </w:pPr>
      <w:r w:rsidRPr="00753B3F">
        <w:rPr>
          <w:rStyle w:val="FootnoteReference"/>
          <w:rFonts w:ascii="IRBadr" w:hAnsi="IRBadr" w:cs="IRBadr"/>
          <w:b/>
          <w:bCs/>
          <w:sz w:val="20"/>
          <w:szCs w:val="20"/>
          <w:rtl/>
        </w:rPr>
        <w:t>4</w:t>
      </w:r>
      <w:r w:rsidR="00EE0CFD" w:rsidRPr="00753B3F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 xml:space="preserve"> </w:t>
      </w:r>
      <w:r w:rsidR="00753B3F">
        <w:rPr>
          <w:rFonts w:ascii="IRBadr" w:hAnsi="IRBadr" w:cs="IRBadr" w:hint="cs"/>
          <w:b/>
          <w:bCs/>
          <w:color w:val="000000" w:themeColor="text1"/>
          <w:sz w:val="20"/>
          <w:szCs w:val="20"/>
          <w:rtl/>
        </w:rPr>
        <w:t>- همان</w:t>
      </w:r>
      <w:r w:rsidR="007B16EF" w:rsidRPr="00753B3F">
        <w:rPr>
          <w:rFonts w:ascii="IRBadr" w:hAnsi="IRBadr" w:cs="IRBadr"/>
          <w:b/>
          <w:bCs/>
          <w:color w:val="000000" w:themeColor="text1"/>
          <w:sz w:val="20"/>
          <w:szCs w:val="20"/>
          <w:rtl/>
        </w:rPr>
        <w:t>، ص: 53</w:t>
      </w:r>
      <w:r w:rsidR="00753B3F">
        <w:rPr>
          <w:rFonts w:ascii="IRBadr" w:hAnsi="IRBadr" w:cs="IRBadr" w:hint="cs"/>
          <w:b/>
          <w:bCs/>
          <w:color w:val="000000"/>
          <w:sz w:val="20"/>
          <w:szCs w:val="20"/>
          <w:rtl/>
        </w:rPr>
        <w:t>.</w:t>
      </w:r>
    </w:p>
  </w:footnote>
  <w:footnote w:id="3">
    <w:p w:rsidR="007B16EF" w:rsidRPr="00753B3F" w:rsidRDefault="007B16EF" w:rsidP="00753B3F">
      <w:pPr>
        <w:pStyle w:val="FootnoteText"/>
        <w:ind w:firstLine="0"/>
        <w:rPr>
          <w:rFonts w:ascii="IRBadr" w:hAnsi="IRBadr" w:cs="IRBadr" w:hint="cs"/>
          <w:b/>
          <w:bCs/>
          <w:rtl/>
        </w:rPr>
      </w:pPr>
      <w:bookmarkStart w:id="16" w:name="_GoBack"/>
    </w:p>
    <w:bookmarkEnd w:id="16"/>
  </w:footnote>
  <w:footnote w:id="4">
    <w:p w:rsidR="00EB07EB" w:rsidRPr="00753B3F" w:rsidRDefault="00EB07EB" w:rsidP="00753B3F">
      <w:pPr>
        <w:pStyle w:val="FootnoteText"/>
        <w:rPr>
          <w:rFonts w:ascii="IRBadr" w:hAnsi="IRBadr" w:cs="IRBadr"/>
          <w:b/>
          <w:bCs/>
        </w:rPr>
      </w:pPr>
      <w:r w:rsidRPr="00753B3F">
        <w:rPr>
          <w:rStyle w:val="FootnoteReference"/>
          <w:rFonts w:ascii="IRBadr" w:hAnsi="IRBadr" w:cs="IRBadr"/>
          <w:b/>
          <w:bCs/>
        </w:rPr>
        <w:footnoteRef/>
      </w:r>
      <w:r w:rsidRPr="00753B3F">
        <w:rPr>
          <w:rFonts w:ascii="IRBadr" w:hAnsi="IRBadr" w:cs="IRBadr"/>
          <w:b/>
          <w:bCs/>
          <w:rtl/>
        </w:rPr>
        <w:t xml:space="preserve"> </w:t>
      </w:r>
      <w:r w:rsidR="00753B3F">
        <w:rPr>
          <w:rFonts w:ascii="IRBadr" w:hAnsi="IRBadr" w:cs="IRBadr" w:hint="cs"/>
          <w:b/>
          <w:bCs/>
          <w:rtl/>
        </w:rPr>
        <w:t xml:space="preserve">- </w:t>
      </w:r>
      <w:r w:rsidRPr="00753B3F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EE0CFD" w:rsidRPr="00753B3F">
        <w:rPr>
          <w:rFonts w:ascii="IRBadr" w:hAnsi="IRBadr" w:cs="IRBadr"/>
          <w:b/>
          <w:bCs/>
          <w:color w:val="000000" w:themeColor="text1"/>
          <w:rtl/>
        </w:rPr>
        <w:t>ی</w:t>
      </w:r>
      <w:r w:rsidRPr="00753B3F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EE0CFD" w:rsidRPr="00753B3F">
        <w:rPr>
          <w:rFonts w:ascii="IRBadr" w:hAnsi="IRBadr" w:cs="IRBadr"/>
          <w:b/>
          <w:bCs/>
          <w:color w:val="000000" w:themeColor="text1"/>
          <w:rtl/>
        </w:rPr>
        <w:t>ج</w:t>
      </w:r>
      <w:r w:rsidRPr="00753B3F">
        <w:rPr>
          <w:rFonts w:ascii="IRBadr" w:hAnsi="IRBadr" w:cs="IRBadr"/>
          <w:b/>
          <w:bCs/>
          <w:color w:val="000000" w:themeColor="text1"/>
          <w:rtl/>
        </w:rPr>
        <w:t>28، ص: 56</w:t>
      </w:r>
      <w:r w:rsidR="00753B3F">
        <w:rPr>
          <w:rFonts w:ascii="IRBadr" w:hAnsi="IRBadr" w:cs="IR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97CB3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17EF9D" wp14:editId="2650555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2B477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fa-IR"/>
      </w:rPr>
      <w:drawing>
        <wp:inline distT="0" distB="0" distL="0" distR="0" wp14:anchorId="72E7D03C" wp14:editId="422C8CE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EE0CF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97CB3">
      <w:rPr>
        <w:rFonts w:ascii="IranNastaliq" w:hAnsi="IranNastaliq" w:cs="IranNastaliq" w:hint="cs"/>
        <w:sz w:val="40"/>
        <w:szCs w:val="40"/>
        <w:rtl/>
      </w:rPr>
      <w:t>774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3"/>
    <w:rsid w:val="000228A2"/>
    <w:rsid w:val="000324F1"/>
    <w:rsid w:val="00041FE0"/>
    <w:rsid w:val="00052BA3"/>
    <w:rsid w:val="0006363E"/>
    <w:rsid w:val="00080DFF"/>
    <w:rsid w:val="00085ED5"/>
    <w:rsid w:val="000A1A51"/>
    <w:rsid w:val="000C66F7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17EB"/>
    <w:rsid w:val="00192A6A"/>
    <w:rsid w:val="00197CDD"/>
    <w:rsid w:val="001A7E3F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3128"/>
    <w:rsid w:val="002914BD"/>
    <w:rsid w:val="00297263"/>
    <w:rsid w:val="002C3080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84DE6"/>
    <w:rsid w:val="004B337F"/>
    <w:rsid w:val="004F02D0"/>
    <w:rsid w:val="004F3596"/>
    <w:rsid w:val="00555226"/>
    <w:rsid w:val="00572E2D"/>
    <w:rsid w:val="00592103"/>
    <w:rsid w:val="005941DD"/>
    <w:rsid w:val="005A545E"/>
    <w:rsid w:val="005A5862"/>
    <w:rsid w:val="005B0852"/>
    <w:rsid w:val="005C06AE"/>
    <w:rsid w:val="005F5C5B"/>
    <w:rsid w:val="00610C18"/>
    <w:rsid w:val="00612385"/>
    <w:rsid w:val="0061376C"/>
    <w:rsid w:val="00626201"/>
    <w:rsid w:val="00636EFA"/>
    <w:rsid w:val="0066229C"/>
    <w:rsid w:val="0069696C"/>
    <w:rsid w:val="00697CB3"/>
    <w:rsid w:val="006A085A"/>
    <w:rsid w:val="006D3A87"/>
    <w:rsid w:val="006E66F4"/>
    <w:rsid w:val="006F01B4"/>
    <w:rsid w:val="00713764"/>
    <w:rsid w:val="00732C9F"/>
    <w:rsid w:val="00732F1E"/>
    <w:rsid w:val="00734D59"/>
    <w:rsid w:val="0073609B"/>
    <w:rsid w:val="00752745"/>
    <w:rsid w:val="00753B3F"/>
    <w:rsid w:val="0076665E"/>
    <w:rsid w:val="007749BC"/>
    <w:rsid w:val="00780A8C"/>
    <w:rsid w:val="00780C88"/>
    <w:rsid w:val="00780E25"/>
    <w:rsid w:val="007818F0"/>
    <w:rsid w:val="00783462"/>
    <w:rsid w:val="00787B13"/>
    <w:rsid w:val="00792FAC"/>
    <w:rsid w:val="007A5D2F"/>
    <w:rsid w:val="007B16E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4882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33643"/>
    <w:rsid w:val="009401AC"/>
    <w:rsid w:val="009613AC"/>
    <w:rsid w:val="00980643"/>
    <w:rsid w:val="00983DA0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376A"/>
    <w:rsid w:val="00BB5F7E"/>
    <w:rsid w:val="00BB7221"/>
    <w:rsid w:val="00BC26F6"/>
    <w:rsid w:val="00BC4833"/>
    <w:rsid w:val="00BD3122"/>
    <w:rsid w:val="00BD40DA"/>
    <w:rsid w:val="00BF3D67"/>
    <w:rsid w:val="00C160AF"/>
    <w:rsid w:val="00C16CDC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6605"/>
    <w:rsid w:val="00CE31E6"/>
    <w:rsid w:val="00CE3B74"/>
    <w:rsid w:val="00CF42E2"/>
    <w:rsid w:val="00CF7916"/>
    <w:rsid w:val="00D158F3"/>
    <w:rsid w:val="00D3665C"/>
    <w:rsid w:val="00D508CC"/>
    <w:rsid w:val="00D50F4B"/>
    <w:rsid w:val="00D532ED"/>
    <w:rsid w:val="00D60547"/>
    <w:rsid w:val="00D66444"/>
    <w:rsid w:val="00D76353"/>
    <w:rsid w:val="00D85A7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4183"/>
    <w:rsid w:val="00E55891"/>
    <w:rsid w:val="00E6283A"/>
    <w:rsid w:val="00E7091D"/>
    <w:rsid w:val="00E732A3"/>
    <w:rsid w:val="00E763EF"/>
    <w:rsid w:val="00E83A85"/>
    <w:rsid w:val="00E90FC4"/>
    <w:rsid w:val="00EA01EC"/>
    <w:rsid w:val="00EA15B0"/>
    <w:rsid w:val="00EA5D97"/>
    <w:rsid w:val="00EB07EB"/>
    <w:rsid w:val="00EC4393"/>
    <w:rsid w:val="00EE0CFD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0D1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97C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C308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C308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84D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97C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C3080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C3080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84D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F100-02E8-4039-9419-00E8180E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612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15</cp:revision>
  <dcterms:created xsi:type="dcterms:W3CDTF">2014-12-20T10:05:00Z</dcterms:created>
  <dcterms:modified xsi:type="dcterms:W3CDTF">2015-08-13T08:02:00Z</dcterms:modified>
</cp:coreProperties>
</file>