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D1" w:rsidRPr="00BE45DD" w:rsidRDefault="00A73A1B" w:rsidP="00610DD1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BE45DD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10DD1"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610DD1" w:rsidRPr="00BE45DD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2D31CB" w:rsidRPr="00BE45DD" w:rsidRDefault="002D31CB" w:rsidP="002D31CB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2D31CB" w:rsidRPr="00BE45DD" w:rsidRDefault="002D31CB" w:rsidP="002D31C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BE45DD">
        <w:rPr>
          <w:rFonts w:ascii="IRBadr" w:hAnsi="IRBadr" w:cs="IRBadr"/>
          <w:sz w:val="28"/>
          <w:rtl/>
        </w:rPr>
        <w:fldChar w:fldCharType="begin"/>
      </w:r>
      <w:r w:rsidRPr="00BE45DD">
        <w:rPr>
          <w:rFonts w:ascii="IRBadr" w:hAnsi="IRBadr" w:cs="IRBadr"/>
          <w:sz w:val="28"/>
          <w:rtl/>
        </w:rPr>
        <w:instrText xml:space="preserve"> </w:instrText>
      </w:r>
      <w:r w:rsidRPr="00BE45DD">
        <w:rPr>
          <w:rFonts w:ascii="IRBadr" w:hAnsi="IRBadr" w:cs="IRBadr"/>
          <w:sz w:val="28"/>
        </w:rPr>
        <w:instrText>TOC</w:instrText>
      </w:r>
      <w:r w:rsidRPr="00BE45DD">
        <w:rPr>
          <w:rFonts w:ascii="IRBadr" w:hAnsi="IRBadr" w:cs="IRBadr"/>
          <w:sz w:val="28"/>
          <w:rtl/>
        </w:rPr>
        <w:instrText xml:space="preserve"> \</w:instrText>
      </w:r>
      <w:r w:rsidRPr="00BE45DD">
        <w:rPr>
          <w:rFonts w:ascii="IRBadr" w:hAnsi="IRBadr" w:cs="IRBadr"/>
          <w:sz w:val="28"/>
        </w:rPr>
        <w:instrText>o "</w:instrText>
      </w:r>
      <w:r w:rsidRPr="00BE45DD">
        <w:rPr>
          <w:rFonts w:ascii="IRBadr" w:hAnsi="IRBadr" w:cs="IRBadr"/>
          <w:sz w:val="28"/>
          <w:rtl/>
        </w:rPr>
        <w:instrText>1-4</w:instrText>
      </w:r>
      <w:r w:rsidRPr="00BE45DD">
        <w:rPr>
          <w:rFonts w:ascii="IRBadr" w:hAnsi="IRBadr" w:cs="IRBadr"/>
          <w:sz w:val="28"/>
        </w:rPr>
        <w:instrText>" \h \z \u</w:instrText>
      </w:r>
      <w:r w:rsidRPr="00BE45DD">
        <w:rPr>
          <w:rFonts w:ascii="IRBadr" w:hAnsi="IRBadr" w:cs="IRBadr"/>
          <w:sz w:val="28"/>
          <w:rtl/>
        </w:rPr>
        <w:instrText xml:space="preserve"> </w:instrText>
      </w:r>
      <w:r w:rsidRPr="00BE45DD">
        <w:rPr>
          <w:rFonts w:ascii="IRBadr" w:hAnsi="IRBadr" w:cs="IRBadr"/>
          <w:sz w:val="28"/>
          <w:rtl/>
        </w:rPr>
        <w:fldChar w:fldCharType="separate"/>
      </w:r>
      <w:hyperlink w:anchor="_Toc425844530" w:history="1">
        <w:r w:rsidRPr="00BE45DD">
          <w:rPr>
            <w:rStyle w:val="Hyperlink"/>
            <w:rFonts w:ascii="IRBadr" w:hAnsi="IRBadr" w:cs="IRBadr"/>
            <w:noProof/>
            <w:rtl/>
          </w:rPr>
          <w:t>آداب حدود</w:t>
        </w:r>
        <w:r w:rsidRPr="00BE45DD">
          <w:rPr>
            <w:rFonts w:ascii="IRBadr" w:hAnsi="IRBadr" w:cs="IRBadr"/>
            <w:noProof/>
            <w:webHidden/>
          </w:rPr>
          <w:tab/>
        </w:r>
        <w:r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BE45DD">
          <w:rPr>
            <w:rFonts w:ascii="IRBadr" w:hAnsi="IRBadr" w:cs="IRBadr"/>
            <w:noProof/>
            <w:webHidden/>
          </w:rPr>
          <w:instrText xml:space="preserve"> PAGEREF _Toc425844530 \h </w:instrText>
        </w:r>
        <w:r w:rsidRPr="00BE45DD">
          <w:rPr>
            <w:rStyle w:val="Hyperlink"/>
            <w:rFonts w:ascii="IRBadr" w:hAnsi="IRBadr" w:cs="IRBadr"/>
            <w:noProof/>
            <w:rtl/>
          </w:rPr>
        </w:r>
        <w:r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BE45DD">
          <w:rPr>
            <w:rFonts w:ascii="IRBadr" w:hAnsi="IRBadr" w:cs="IRBadr"/>
            <w:noProof/>
            <w:webHidden/>
            <w:rtl/>
          </w:rPr>
          <w:t>3</w:t>
        </w:r>
        <w:r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531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_Toc425844531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3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532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الزام حضور در زمان حد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_Toc425844532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3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533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بیان اقوال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_Toc425844533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3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534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تعداد حاضرین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_Toc425844534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3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535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رد اجماع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_Toc425844535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4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536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بررسی اقوال علما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_Toc425844536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4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537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ادله حکم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_Toc425844537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4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538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دلیل دوم بر وجوب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_Toc425844538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5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539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_Toc425844539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5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540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مروری بر فلسفه حدود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_Toc425844540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5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541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جمع بندی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_Toc425844541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5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542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دلیل سوم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_Toc425844542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5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844543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خدشه در دلیل فوق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_Toc425844543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6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44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اعلام مشخصات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_Toc425844544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6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45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_Toc425844545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6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46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تعداد حاضران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_Toc425844546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6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47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معنای طایفه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_Toc425844547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6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48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مقام اول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_Toc425844548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6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49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اقوال در این مقام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_Toc425844549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6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50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_Toc425844550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7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51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مقام دوم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_Toc425844551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7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52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حل مشکل تعارض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_Toc425844552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7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53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_Toc425844553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7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54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احتمالات در فرض فوق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_Toc425844554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7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55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نوع وجوب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_Toc425844555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7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56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_Toc425844556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8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57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کفایت زن جهت شهادت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_Toc425844557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8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58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_Toc425844558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8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59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بلوغ شاهد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_Toc425844559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8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567961" w:rsidP="002D31CB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844560" w:history="1">
        <w:r w:rsidR="002D31CB" w:rsidRPr="00BE45DD">
          <w:rPr>
            <w:rStyle w:val="Hyperlink"/>
            <w:rFonts w:ascii="IRBadr" w:hAnsi="IRBadr" w:cs="IRBadr"/>
            <w:noProof/>
            <w:rtl/>
          </w:rPr>
          <w:t>لزوم اسلام</w:t>
        </w:r>
        <w:r w:rsidR="002D31CB" w:rsidRPr="00BE45DD">
          <w:rPr>
            <w:rFonts w:ascii="IRBadr" w:hAnsi="IRBadr" w:cs="IRBadr"/>
            <w:noProof/>
            <w:webHidden/>
          </w:rPr>
          <w:tab/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D31CB" w:rsidRPr="00BE45DD">
          <w:rPr>
            <w:rFonts w:ascii="IRBadr" w:hAnsi="IRBadr" w:cs="IRBadr"/>
            <w:noProof/>
            <w:webHidden/>
          </w:rPr>
          <w:instrText xml:space="preserve"> PAGEREF _Toc425844560 \h </w:instrText>
        </w:r>
        <w:r w:rsidR="002D31CB" w:rsidRPr="00BE45DD">
          <w:rPr>
            <w:rStyle w:val="Hyperlink"/>
            <w:rFonts w:ascii="IRBadr" w:hAnsi="IRBadr" w:cs="IRBadr"/>
            <w:noProof/>
            <w:rtl/>
          </w:rPr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D31CB" w:rsidRPr="00BE45DD">
          <w:rPr>
            <w:rFonts w:ascii="IRBadr" w:hAnsi="IRBadr" w:cs="IRBadr"/>
            <w:noProof/>
            <w:webHidden/>
            <w:rtl/>
          </w:rPr>
          <w:t>8</w:t>
        </w:r>
        <w:r w:rsidR="002D31CB" w:rsidRPr="00BE45D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D31CB" w:rsidRPr="00BE45DD" w:rsidRDefault="002D31CB" w:rsidP="002D31CB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2D31CB" w:rsidRPr="00BE45DD" w:rsidRDefault="002D31CB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5844530"/>
      <w:r w:rsidRPr="00BE45DD">
        <w:rPr>
          <w:rFonts w:ascii="IRBadr" w:hAnsi="IRBadr" w:cs="IRBadr"/>
          <w:rtl/>
        </w:rPr>
        <w:br w:type="page"/>
      </w:r>
    </w:p>
    <w:p w:rsidR="00EF0747" w:rsidRPr="00BE45DD" w:rsidRDefault="00EF0747" w:rsidP="00E34A52">
      <w:pPr>
        <w:pStyle w:val="Heading1"/>
        <w:rPr>
          <w:rFonts w:ascii="IRBadr" w:hAnsi="IRBadr" w:cs="IRBadr"/>
          <w:rtl/>
        </w:rPr>
      </w:pPr>
      <w:r w:rsidRPr="00BE45DD">
        <w:rPr>
          <w:rFonts w:ascii="IRBadr" w:hAnsi="IRBadr" w:cs="IRBadr"/>
          <w:rtl/>
        </w:rPr>
        <w:lastRenderedPageBreak/>
        <w:t>آداب حدود</w:t>
      </w:r>
      <w:bookmarkEnd w:id="1"/>
    </w:p>
    <w:p w:rsidR="00EF0747" w:rsidRPr="00BE45DD" w:rsidRDefault="00EF0747" w:rsidP="00E34A52">
      <w:pPr>
        <w:pStyle w:val="Heading1"/>
        <w:rPr>
          <w:rFonts w:ascii="IRBadr" w:hAnsi="IRBadr" w:cs="IRBadr"/>
          <w:rtl/>
        </w:rPr>
      </w:pPr>
      <w:bookmarkStart w:id="2" w:name="_Toc425844531"/>
      <w:r w:rsidRPr="00BE45DD">
        <w:rPr>
          <w:rFonts w:ascii="IRBadr" w:hAnsi="IRBadr" w:cs="IRBadr"/>
          <w:rtl/>
        </w:rPr>
        <w:t>مرور بحث گذشته</w:t>
      </w:r>
      <w:bookmarkEnd w:id="2"/>
    </w:p>
    <w:p w:rsidR="00EF0747" w:rsidRPr="00BE45DD" w:rsidRDefault="00EF0747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اولین فرعی که در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سابق مطرح شد مربوط به بحث دعوت و حضور مردم در هنگام اجرای حد بود،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بیان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شد که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برخی قائل به استحباب،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احتیاط وجوبی شده بودند.</w:t>
      </w:r>
    </w:p>
    <w:p w:rsidR="00EF0747" w:rsidRPr="00BE45DD" w:rsidRDefault="00EF0747" w:rsidP="00E34A52">
      <w:pPr>
        <w:pStyle w:val="Heading2"/>
        <w:rPr>
          <w:rFonts w:ascii="IRBadr" w:hAnsi="IRBadr" w:cs="IRBadr"/>
          <w:rtl/>
        </w:rPr>
      </w:pPr>
      <w:bookmarkStart w:id="3" w:name="_Toc425844532"/>
      <w:r w:rsidRPr="00BE45DD">
        <w:rPr>
          <w:rFonts w:ascii="IRBadr" w:hAnsi="IRBadr" w:cs="IRBadr"/>
          <w:rtl/>
        </w:rPr>
        <w:t>الزام حضور در زمان حد</w:t>
      </w:r>
      <w:bookmarkEnd w:id="3"/>
    </w:p>
    <w:p w:rsidR="00EF0747" w:rsidRPr="00BE45DD" w:rsidRDefault="00EF0747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فرع جدیدی که باید بدان پرداخته شود این است که آیا در هنگام اجرای حد حضور افرادی لازم است یا خیر؟ در این زمینه دو قول وجود دارد،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اگر احتیاط وجوبی را یک قول محسوب کنیم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درمجموع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گفت؛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سه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قول در این زمینه وجود دارد.</w:t>
      </w:r>
    </w:p>
    <w:p w:rsidR="00EF0747" w:rsidRPr="00BE45DD" w:rsidRDefault="00EF0747" w:rsidP="00E34A52">
      <w:pPr>
        <w:pStyle w:val="Heading2"/>
        <w:rPr>
          <w:rFonts w:ascii="IRBadr" w:hAnsi="IRBadr" w:cs="IRBadr"/>
          <w:rtl/>
        </w:rPr>
      </w:pPr>
      <w:bookmarkStart w:id="4" w:name="_Toc425844533"/>
      <w:r w:rsidRPr="00BE45DD">
        <w:rPr>
          <w:rFonts w:ascii="IRBadr" w:hAnsi="IRBadr" w:cs="IRBadr"/>
          <w:rtl/>
        </w:rPr>
        <w:t>بیان اقوال</w:t>
      </w:r>
      <w:bookmarkEnd w:id="4"/>
    </w:p>
    <w:p w:rsidR="00EF0747" w:rsidRPr="00BE45DD" w:rsidRDefault="00EF0747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یک قول قائل به وجوب است که در این مبنا برخی عقیده دارند علاوه بر زنا در سایر حدود نیز لازم است افرادی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حضورداشته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باشند.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نقطه مقابل قول به استحباب است.</w:t>
      </w:r>
    </w:p>
    <w:p w:rsidR="00EF0747" w:rsidRPr="00BE45DD" w:rsidRDefault="00EF0747" w:rsidP="00E34A52">
      <w:pPr>
        <w:pStyle w:val="Heading2"/>
        <w:rPr>
          <w:rFonts w:ascii="IRBadr" w:hAnsi="IRBadr" w:cs="IRBadr"/>
          <w:rtl/>
        </w:rPr>
      </w:pPr>
      <w:bookmarkStart w:id="5" w:name="_Toc425844534"/>
      <w:r w:rsidRPr="00BE45DD">
        <w:rPr>
          <w:rFonts w:ascii="IRBadr" w:hAnsi="IRBadr" w:cs="IRBadr"/>
          <w:rtl/>
        </w:rPr>
        <w:t>تعداد حاضرین</w:t>
      </w:r>
      <w:bookmarkEnd w:id="5"/>
    </w:p>
    <w:p w:rsidR="00EF0747" w:rsidRPr="00BE45DD" w:rsidRDefault="00EF0747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فرع دیگری که در اینجا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طرح‌شده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بوده که تعداد حاضرین باید چقدر باشد؟ علاوه بر آن،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سؤال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آمده که این وجوب چه نوع وجوبی است؟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اول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که بیان شد دو قول وجود دارد و افرادی مثل حضرت امام قائل به احتیاط وجوبی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بین عامه نیز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ظاهراً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وجوب اشتهار ندارد.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در اصل رجحان حضور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اختلاف‌نظری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وجود ندارد.</w:t>
      </w:r>
    </w:p>
    <w:p w:rsidR="00EF0747" w:rsidRPr="00BE45DD" w:rsidRDefault="00B92538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به مرحوم شیخ در مبسوط نسبت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که ایشان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فرموده‌اند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بر استحباب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اتفاق‌نظر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از کلام مرحوم شیخ استظهار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که در این زمینه اجماع وجود دارد.</w:t>
      </w:r>
    </w:p>
    <w:p w:rsidR="00B92538" w:rsidRPr="00BE45DD" w:rsidRDefault="00B92538" w:rsidP="00E34A52">
      <w:pPr>
        <w:pStyle w:val="Heading2"/>
        <w:rPr>
          <w:rFonts w:ascii="IRBadr" w:hAnsi="IRBadr" w:cs="IRBadr"/>
          <w:rtl/>
        </w:rPr>
      </w:pPr>
      <w:bookmarkStart w:id="6" w:name="_Toc425844535"/>
      <w:r w:rsidRPr="00BE45DD">
        <w:rPr>
          <w:rFonts w:ascii="IRBadr" w:hAnsi="IRBadr" w:cs="IRBadr"/>
          <w:rtl/>
        </w:rPr>
        <w:lastRenderedPageBreak/>
        <w:t>رد اجماع</w:t>
      </w:r>
      <w:bookmarkEnd w:id="6"/>
    </w:p>
    <w:p w:rsidR="00B92538" w:rsidRPr="00BE45DD" w:rsidRDefault="00A73A1B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ازآنجاکه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در این قول مخالفانی نیز وجود دارد،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ادعای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اجماع 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یادشده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چندان از اثری برخوردار نیست.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برخی نیز این احتمال را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که منظور از اجماع 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اجماع در رجحان است.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در این زمینه مشخص است،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بوده که در میان عامه آنچه بیشتر اشتهار دارد، همان قول به استحباب است.</w:t>
      </w:r>
    </w:p>
    <w:p w:rsidR="00B92538" w:rsidRPr="00BE45DD" w:rsidRDefault="00B92538" w:rsidP="00E34A52">
      <w:pPr>
        <w:pStyle w:val="Heading2"/>
        <w:rPr>
          <w:rFonts w:ascii="IRBadr" w:hAnsi="IRBadr" w:cs="IRBadr"/>
          <w:rtl/>
        </w:rPr>
      </w:pPr>
      <w:bookmarkStart w:id="7" w:name="_Toc425844536"/>
      <w:r w:rsidRPr="00BE45DD">
        <w:rPr>
          <w:rFonts w:ascii="IRBadr" w:hAnsi="IRBadr" w:cs="IRBadr"/>
          <w:rtl/>
        </w:rPr>
        <w:t>بررسی اقوال علما</w:t>
      </w:r>
      <w:bookmarkEnd w:id="7"/>
    </w:p>
    <w:p w:rsidR="00B92538" w:rsidRPr="00BE45DD" w:rsidRDefault="00BE45DD" w:rsidP="00BE45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ظاهر کلام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صاحب شرائع 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>استحباب است و در میان متأخرین،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صاحب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جواهر ظاهر کلامشان ظهور در وجوب دارد،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اما به احتیاط وجوبی قائل هستند و آقای خویی،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گلپایگانی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>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فاضل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>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مکارم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و تبریزی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ظاهراً</w:t>
      </w:r>
      <w:r w:rsidR="00B92538" w:rsidRPr="00BE45DD">
        <w:rPr>
          <w:rFonts w:ascii="IRBadr" w:hAnsi="IRBadr" w:cs="IRBadr"/>
          <w:sz w:val="28"/>
          <w:szCs w:val="28"/>
          <w:rtl/>
          <w:lang w:bidi="fa-IR"/>
        </w:rPr>
        <w:t xml:space="preserve"> قائل به وجوب هستند.</w:t>
      </w:r>
    </w:p>
    <w:p w:rsidR="00B92538" w:rsidRPr="00BE45DD" w:rsidRDefault="00B92538" w:rsidP="00E34A52">
      <w:pPr>
        <w:pStyle w:val="Heading2"/>
        <w:rPr>
          <w:rFonts w:ascii="IRBadr" w:hAnsi="IRBadr" w:cs="IRBadr"/>
          <w:rtl/>
        </w:rPr>
      </w:pPr>
      <w:bookmarkStart w:id="8" w:name="_Toc425844537"/>
      <w:r w:rsidRPr="00BE45DD">
        <w:rPr>
          <w:rFonts w:ascii="IRBadr" w:hAnsi="IRBadr" w:cs="IRBadr"/>
          <w:rtl/>
        </w:rPr>
        <w:t>ادله حکم</w:t>
      </w:r>
      <w:bookmarkEnd w:id="8"/>
    </w:p>
    <w:p w:rsidR="00B92538" w:rsidRPr="00BE45DD" w:rsidRDefault="00B92538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عمده دلیلی که برای این بحث آورده شده است همان آیه شریفه سوره نور است که پس از بینا حد زنا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که اشاره شد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E34A52" w:rsidRPr="00BE45DD" w:rsidRDefault="00E34A52" w:rsidP="00BE45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color w:val="000000" w:themeColor="text1"/>
          <w:sz w:val="28"/>
          <w:szCs w:val="28"/>
          <w:rtl/>
        </w:rPr>
        <w:t>«</w:t>
      </w:r>
      <w:r w:rsidRPr="00BE45D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الزّانِیةُ وَ الزّانِی فَاجْلِدُوا کلَّ واحِدٍ مِنْهُما مِائَةَ جَلْدَةٍ وَ لا تَأْخُذْکمْ بِهِما رَأْفَةٌ فِی دِینِ اللّهِ إِنْ کنْتُمْ تُؤْمِنُونَ بِاللّهِ وَ الْیوْمِ الْآخِرِ وَ لْیشْهَدْ عَذابَهُما طائِفَةٌ مِنَ الْمُؤْمِنِینَ»</w:t>
      </w:r>
      <w:r w:rsidR="00BE45D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(نور/2)</w:t>
      </w:r>
      <w:r w:rsidR="00BE45DD">
        <w:rPr>
          <w:rFonts w:ascii="IRBadr" w:hAnsi="IRBadr" w:cs="IRBadr" w:hint="cs"/>
          <w:b/>
          <w:bCs/>
          <w:color w:val="000000" w:themeColor="text1"/>
          <w:sz w:val="36"/>
          <w:szCs w:val="36"/>
          <w:rtl/>
        </w:rPr>
        <w:t>.</w:t>
      </w:r>
    </w:p>
    <w:p w:rsidR="00B92538" w:rsidRPr="00BE45DD" w:rsidRDefault="007E3DB2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امر به شهد که در آیه شریفه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منظور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است که حداقل رجحان را نشان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در این زمینه برخی قائل بودند که امر ظهور در وجوب ندارد و تنها بر مطلق رجحان دلالت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بیشتر محققین آن را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پذیرفته‌اند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است که ظهور امر در وجوب نیست.</w:t>
      </w:r>
    </w:p>
    <w:p w:rsidR="00B92538" w:rsidRPr="00BE45DD" w:rsidRDefault="007E3DB2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برخی استدلال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که چون در روایات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صریحاً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به این مطلب پرداخته نشده،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ظهور آیه نیز حجیت ندارد،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ادعای سست و بی مبنایی است و شواهد خیلی ضعیف است که بخواهیم دلالت آیه را از وجوب منصرف نماییم. لذاست که متأخرین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معمولاً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قائل به وجوب هستند.</w:t>
      </w:r>
    </w:p>
    <w:p w:rsidR="00B92538" w:rsidRPr="00BE45DD" w:rsidRDefault="007E3DB2" w:rsidP="00E34A52">
      <w:pPr>
        <w:pStyle w:val="Heading2"/>
        <w:rPr>
          <w:rFonts w:ascii="IRBadr" w:hAnsi="IRBadr" w:cs="IRBadr"/>
          <w:rtl/>
        </w:rPr>
      </w:pPr>
      <w:bookmarkStart w:id="9" w:name="_Toc425844538"/>
      <w:r w:rsidRPr="00BE45DD">
        <w:rPr>
          <w:rFonts w:ascii="IRBadr" w:hAnsi="IRBadr" w:cs="IRBadr"/>
          <w:rtl/>
        </w:rPr>
        <w:lastRenderedPageBreak/>
        <w:t>دلیل دوم بر وجوب</w:t>
      </w:r>
      <w:bookmarkEnd w:id="9"/>
    </w:p>
    <w:p w:rsidR="007E3DB2" w:rsidRPr="00BE45DD" w:rsidRDefault="00671DB1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دلیل دیگری که در این زمینه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مورد فلسفه حدود است،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اقتضاء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بقیه افراد نیز از آن مطلع بشوند.</w:t>
      </w:r>
    </w:p>
    <w:p w:rsidR="00671DB1" w:rsidRPr="00BE45DD" w:rsidRDefault="00671DB1" w:rsidP="00E34A52">
      <w:pPr>
        <w:pStyle w:val="Heading2"/>
        <w:rPr>
          <w:rFonts w:ascii="IRBadr" w:hAnsi="IRBadr" w:cs="IRBadr"/>
          <w:rtl/>
        </w:rPr>
      </w:pPr>
      <w:bookmarkStart w:id="10" w:name="_Toc425844539"/>
      <w:r w:rsidRPr="00BE45DD">
        <w:rPr>
          <w:rFonts w:ascii="IRBadr" w:hAnsi="IRBadr" w:cs="IRBadr"/>
          <w:rtl/>
        </w:rPr>
        <w:t>اتخاذ مبنا</w:t>
      </w:r>
      <w:bookmarkEnd w:id="10"/>
    </w:p>
    <w:p w:rsidR="00671DB1" w:rsidRPr="00BE45DD" w:rsidRDefault="00671DB1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ممکن است این دلیل بتواند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مؤیدی باشد ولی این استظهارات عقلی است و به لحاظ فقهی چندان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روی آن حسابی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باز کرد.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نگاه شیعه چندان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به این عناوین تکیه نمود،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که ممکن است چنین استحساناتی از نگاه فقه تسنن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</w:p>
    <w:p w:rsidR="007E3DB2" w:rsidRPr="00BE45DD" w:rsidRDefault="00671DB1" w:rsidP="00E34A52">
      <w:pPr>
        <w:pStyle w:val="Heading2"/>
        <w:rPr>
          <w:rFonts w:ascii="IRBadr" w:hAnsi="IRBadr" w:cs="IRBadr"/>
          <w:rtl/>
        </w:rPr>
      </w:pPr>
      <w:bookmarkStart w:id="11" w:name="_Toc425844540"/>
      <w:r w:rsidRPr="00BE45DD">
        <w:rPr>
          <w:rFonts w:ascii="IRBadr" w:hAnsi="IRBadr" w:cs="IRBadr"/>
          <w:rtl/>
        </w:rPr>
        <w:t>مروری بر فلسفه حدود</w:t>
      </w:r>
      <w:bookmarkEnd w:id="11"/>
    </w:p>
    <w:p w:rsidR="00671DB1" w:rsidRPr="00BE45DD" w:rsidRDefault="00E34A52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 xml:space="preserve"> در مورد فلسفه حدود مطالبی بیان شد،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فلسفه‌ها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 xml:space="preserve"> از جهتی رجوع به عذاب بدنی و از جهتی نیز رجوع به عذاب جسمی فرد دارد.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درملأعام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 xml:space="preserve"> مورد حد قرار گیرد و ببیند دیگران نیز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نظاره‌گر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 امر هستند،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بدون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 xml:space="preserve"> شک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 xml:space="preserve"> روانی مورد تأثر قرار 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71DB1" w:rsidRPr="00BE45DD" w:rsidRDefault="00A73A1B" w:rsidP="00E34A52">
      <w:pPr>
        <w:pStyle w:val="Heading2"/>
        <w:rPr>
          <w:rFonts w:ascii="IRBadr" w:hAnsi="IRBadr" w:cs="IRBadr"/>
          <w:rtl/>
        </w:rPr>
      </w:pPr>
      <w:r w:rsidRPr="00BE45DD">
        <w:rPr>
          <w:rFonts w:ascii="IRBadr" w:hAnsi="IRBadr" w:cs="IRBadr"/>
          <w:rtl/>
        </w:rPr>
        <w:t>جمع‌بندی</w:t>
      </w:r>
    </w:p>
    <w:p w:rsidR="00671DB1" w:rsidRPr="00BE45DD" w:rsidRDefault="00A73A1B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>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 xml:space="preserve"> قبال الزام یا استحباب حضور باید گفت؛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آنچه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 xml:space="preserve"> از آیه برداشت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>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الزام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 xml:space="preserve"> حضور است،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 xml:space="preserve"> روایات نیز در این زمینه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671DB1" w:rsidRPr="00BE45DD">
        <w:rPr>
          <w:rFonts w:ascii="IRBadr" w:hAnsi="IRBadr" w:cs="IRBadr"/>
          <w:sz w:val="28"/>
          <w:szCs w:val="28"/>
          <w:rtl/>
          <w:lang w:bidi="fa-IR"/>
        </w:rPr>
        <w:t xml:space="preserve"> مؤیداتی به نحوی ضمنی و یا التزامی استخراج نمود.</w:t>
      </w:r>
    </w:p>
    <w:p w:rsidR="001B385C" w:rsidRPr="00BE45DD" w:rsidRDefault="001B385C" w:rsidP="00E34A52">
      <w:pPr>
        <w:pStyle w:val="Heading2"/>
        <w:rPr>
          <w:rFonts w:ascii="IRBadr" w:hAnsi="IRBadr" w:cs="IRBadr"/>
          <w:rtl/>
        </w:rPr>
      </w:pPr>
      <w:bookmarkStart w:id="12" w:name="_Toc425844542"/>
      <w:r w:rsidRPr="00BE45DD">
        <w:rPr>
          <w:rFonts w:ascii="IRBadr" w:hAnsi="IRBadr" w:cs="IRBadr"/>
          <w:rtl/>
        </w:rPr>
        <w:t>دلیل سوم</w:t>
      </w:r>
      <w:bookmarkEnd w:id="12"/>
    </w:p>
    <w:p w:rsidR="001B385C" w:rsidRPr="00BE45DD" w:rsidRDefault="001B385C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دلیل سومی که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در این مقام ارائه داد،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دلالت‌های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التزامی‌ای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که از روایات برداشت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برخی روایات ملاحظه شد که حضرت برای حضور مردم دعوت و اعلان به عمل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می‌آورند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نبود،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تمهید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 مقدمات چندان وجهی نداشت.</w:t>
      </w:r>
    </w:p>
    <w:p w:rsidR="001B385C" w:rsidRPr="00BE45DD" w:rsidRDefault="001B385C" w:rsidP="00E34A52">
      <w:pPr>
        <w:pStyle w:val="Heading2"/>
        <w:rPr>
          <w:rFonts w:ascii="IRBadr" w:hAnsi="IRBadr" w:cs="IRBadr"/>
          <w:rtl/>
        </w:rPr>
      </w:pPr>
      <w:bookmarkStart w:id="13" w:name="_Toc425844543"/>
      <w:r w:rsidRPr="00BE45DD">
        <w:rPr>
          <w:rFonts w:ascii="IRBadr" w:hAnsi="IRBadr" w:cs="IRBadr"/>
          <w:rtl/>
        </w:rPr>
        <w:lastRenderedPageBreak/>
        <w:t>خدشه در دلیل فوق</w:t>
      </w:r>
      <w:bookmarkEnd w:id="13"/>
    </w:p>
    <w:p w:rsidR="001B385C" w:rsidRPr="00BE45DD" w:rsidRDefault="001B385C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لکن این دلیل با اشکال مواجه است،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در حقیقت این مقدمه نیست،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است شارع اعلام را لازم بداند،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از دیدگاه او حضور لازم نباشد.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شرعاً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ملازمه‌ای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بین این دو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برقرار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لذاست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که ادعای مقدمیت که در کلام آقای گلپایگانی و برخی دیگر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چندان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قابل‌اعتماد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1B385C" w:rsidRPr="00BE45DD" w:rsidRDefault="00C3217D" w:rsidP="00E34A52">
      <w:pPr>
        <w:pStyle w:val="Heading3"/>
        <w:rPr>
          <w:rFonts w:ascii="IRBadr" w:hAnsi="IRBadr" w:cs="IRBadr"/>
          <w:rtl/>
        </w:rPr>
      </w:pPr>
      <w:bookmarkStart w:id="14" w:name="_Toc425844544"/>
      <w:r w:rsidRPr="00BE45DD">
        <w:rPr>
          <w:rFonts w:ascii="IRBadr" w:hAnsi="IRBadr" w:cs="IRBadr"/>
          <w:rtl/>
        </w:rPr>
        <w:t>اعلام مشخصات</w:t>
      </w:r>
      <w:bookmarkEnd w:id="14"/>
    </w:p>
    <w:p w:rsidR="00C3217D" w:rsidRPr="00BE45DD" w:rsidRDefault="00C3217D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اگر بگوییم در اعلام لازم است مشخصات فرد نیز ذکر شود،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سرش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 است که علاوه بر تنبه جامعه،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قصد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شده اعتبار فرد نیز دچار خدشه شود،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اگر اعلام بدون مشخصات را لازم بدانیم،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فلسفه‌اش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 است که مردم از اجرای حدود الهی مطلع گردند.</w:t>
      </w:r>
    </w:p>
    <w:p w:rsidR="00C3217D" w:rsidRPr="00BE45DD" w:rsidRDefault="00C3217D" w:rsidP="00E34A52">
      <w:pPr>
        <w:pStyle w:val="Heading3"/>
        <w:rPr>
          <w:rFonts w:ascii="IRBadr" w:hAnsi="IRBadr" w:cs="IRBadr"/>
          <w:rtl/>
        </w:rPr>
      </w:pPr>
      <w:bookmarkStart w:id="15" w:name="_Toc425844545"/>
      <w:r w:rsidRPr="00BE45DD">
        <w:rPr>
          <w:rFonts w:ascii="IRBadr" w:hAnsi="IRBadr" w:cs="IRBadr"/>
          <w:rtl/>
        </w:rPr>
        <w:t>اتخاذ مبنا</w:t>
      </w:r>
      <w:bookmarkEnd w:id="15"/>
    </w:p>
    <w:p w:rsidR="00C3217D" w:rsidRPr="00BE45DD" w:rsidRDefault="00A73A1B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C3217D" w:rsidRPr="00BE45DD">
        <w:rPr>
          <w:rFonts w:ascii="IRBadr" w:hAnsi="IRBadr" w:cs="IRBadr"/>
          <w:sz w:val="28"/>
          <w:szCs w:val="28"/>
          <w:rtl/>
          <w:lang w:bidi="fa-IR"/>
        </w:rPr>
        <w:t xml:space="preserve"> در روایات نیز این امر وجود ندارد که باید </w:t>
      </w:r>
      <w:r w:rsidR="00BE45DD">
        <w:rPr>
          <w:rFonts w:ascii="IRBadr" w:hAnsi="IRBadr" w:cs="IRBadr"/>
          <w:sz w:val="28"/>
          <w:szCs w:val="28"/>
          <w:rtl/>
          <w:lang w:bidi="fa-IR"/>
        </w:rPr>
        <w:t>مشخصات</w:t>
      </w:r>
      <w:r w:rsidR="00C3217D" w:rsidRPr="00BE45DD">
        <w:rPr>
          <w:rFonts w:ascii="IRBadr" w:hAnsi="IRBadr" w:cs="IRBadr"/>
          <w:sz w:val="28"/>
          <w:szCs w:val="28"/>
          <w:rtl/>
          <w:lang w:bidi="fa-IR"/>
        </w:rPr>
        <w:t xml:space="preserve"> فرد مجرم ذکر شود. آنچه اهمیت دارد،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C3217D" w:rsidRPr="00BE45DD">
        <w:rPr>
          <w:rFonts w:ascii="IRBadr" w:hAnsi="IRBadr" w:cs="IRBadr"/>
          <w:sz w:val="28"/>
          <w:szCs w:val="28"/>
          <w:rtl/>
          <w:lang w:bidi="fa-IR"/>
        </w:rPr>
        <w:t xml:space="preserve"> است که در جامعه این توجه حاصل شود که حدود الهی جاری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می‌گردد</w:t>
      </w:r>
      <w:r w:rsidR="00C3217D" w:rsidRPr="00BE45DD">
        <w:rPr>
          <w:rFonts w:ascii="IRBadr" w:hAnsi="IRBadr" w:cs="IRBadr"/>
          <w:sz w:val="28"/>
          <w:szCs w:val="28"/>
          <w:rtl/>
          <w:lang w:bidi="fa-IR"/>
        </w:rPr>
        <w:t xml:space="preserve">. هشداری که بدون شک متضمن آثار تربیتی برای فرد 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هست</w:t>
      </w:r>
      <w:r w:rsidR="00C3217D" w:rsidRPr="00BE45D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3217D" w:rsidRPr="00BE45DD" w:rsidRDefault="00C3217D" w:rsidP="00E34A52">
      <w:pPr>
        <w:pStyle w:val="Heading4"/>
        <w:ind w:firstLine="0"/>
        <w:rPr>
          <w:rFonts w:ascii="IRBadr" w:hAnsi="IRBadr" w:cs="IRBadr"/>
          <w:rtl/>
        </w:rPr>
      </w:pPr>
      <w:bookmarkStart w:id="16" w:name="_Toc425844546"/>
      <w:r w:rsidRPr="00BE45DD">
        <w:rPr>
          <w:rFonts w:ascii="IRBadr" w:hAnsi="IRBadr" w:cs="IRBadr"/>
          <w:rtl/>
        </w:rPr>
        <w:t>تعداد حاضران</w:t>
      </w:r>
      <w:bookmarkEnd w:id="16"/>
    </w:p>
    <w:p w:rsidR="00C3217D" w:rsidRPr="00BE45DD" w:rsidRDefault="00C3217D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یکی از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بحث‌هایی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که گذرا به آن اشاره شد،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است که تعداد افراد حاضر در زمان اجرای حد باید چقدر باشد؟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که ملاحظه شد در آیه شریفه تعبیر به طایفه وجود دارد، اما مهم این است که بدانیم معنای طایفه چیست؟</w:t>
      </w:r>
    </w:p>
    <w:p w:rsidR="00C3217D" w:rsidRPr="00BE45DD" w:rsidRDefault="00C3217D" w:rsidP="00E34A52">
      <w:pPr>
        <w:pStyle w:val="Heading4"/>
        <w:ind w:firstLine="0"/>
        <w:rPr>
          <w:rFonts w:ascii="IRBadr" w:hAnsi="IRBadr" w:cs="IRBadr"/>
          <w:rtl/>
        </w:rPr>
      </w:pPr>
      <w:bookmarkStart w:id="17" w:name="_Toc425844547"/>
      <w:r w:rsidRPr="00BE45DD">
        <w:rPr>
          <w:rFonts w:ascii="IRBadr" w:hAnsi="IRBadr" w:cs="IRBadr"/>
          <w:rtl/>
        </w:rPr>
        <w:t>معنای طایفه</w:t>
      </w:r>
      <w:bookmarkEnd w:id="17"/>
    </w:p>
    <w:p w:rsidR="00C3217D" w:rsidRPr="00BE45DD" w:rsidRDefault="0023794F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در این زمینه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زیادی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ما سعی داریم </w:t>
      </w:r>
      <w:r w:rsidR="00BE45DD">
        <w:rPr>
          <w:rFonts w:ascii="IRBadr" w:hAnsi="IRBadr" w:cs="IRBadr"/>
          <w:sz w:val="28"/>
          <w:szCs w:val="28"/>
          <w:rtl/>
          <w:lang w:bidi="fa-IR"/>
        </w:rPr>
        <w:t>بنا به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اختصار در این رابطه در دو مقام صحبت کنیم.</w:t>
      </w:r>
    </w:p>
    <w:p w:rsidR="0023794F" w:rsidRPr="00BE45DD" w:rsidRDefault="0023794F" w:rsidP="00E34A52">
      <w:pPr>
        <w:pStyle w:val="Heading4"/>
        <w:ind w:firstLine="0"/>
        <w:rPr>
          <w:rFonts w:ascii="IRBadr" w:hAnsi="IRBadr" w:cs="IRBadr"/>
          <w:rtl/>
        </w:rPr>
      </w:pPr>
      <w:bookmarkStart w:id="18" w:name="_Toc425844548"/>
      <w:r w:rsidRPr="00BE45DD">
        <w:rPr>
          <w:rFonts w:ascii="IRBadr" w:hAnsi="IRBadr" w:cs="IRBadr"/>
          <w:rtl/>
        </w:rPr>
        <w:t>مقام اول</w:t>
      </w:r>
      <w:bookmarkEnd w:id="18"/>
    </w:p>
    <w:p w:rsidR="0023794F" w:rsidRPr="00BE45DD" w:rsidRDefault="0023794F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در ابتدا باید بحث شود که معنای طایفه با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از روایات چیست؟</w:t>
      </w:r>
    </w:p>
    <w:p w:rsidR="0023794F" w:rsidRPr="00BE45DD" w:rsidRDefault="0023794F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اگر به لغت مراجعه شود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به‌وضوح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ملاحظه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که طایفه به معنای گروه و برگرفته از ریشه طواف است،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سپس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در وضع ثانویه به معنای گروهی استعمال شده که حول امری اتفاق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معنای ثلاثه است و بر اقل سه نفر اطلاق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می‌گردد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3794F" w:rsidRPr="00BE45DD" w:rsidRDefault="0023794F" w:rsidP="00E34A52">
      <w:pPr>
        <w:pStyle w:val="Heading4"/>
        <w:ind w:firstLine="0"/>
        <w:rPr>
          <w:rFonts w:ascii="IRBadr" w:hAnsi="IRBadr" w:cs="IRBadr"/>
          <w:rtl/>
        </w:rPr>
      </w:pPr>
      <w:bookmarkStart w:id="19" w:name="_Toc425844549"/>
      <w:r w:rsidRPr="00BE45DD">
        <w:rPr>
          <w:rFonts w:ascii="IRBadr" w:hAnsi="IRBadr" w:cs="IRBadr"/>
          <w:rtl/>
        </w:rPr>
        <w:t>اقوال در این مقام</w:t>
      </w:r>
      <w:bookmarkEnd w:id="19"/>
    </w:p>
    <w:p w:rsidR="0023794F" w:rsidRPr="00BE45DD" w:rsidRDefault="0023794F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در تعداد ضمنی در این کلمه نظرات گوناگونی از فقها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به یک نفر،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دو نفر،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سه و بعضی نیز به چهار نفر اطلاق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چراکه برای اتفاق بر شیء باید از چهار جهت به آن احاطه حاصل شود.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حتی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اقوالی مبنی بر شش،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هفت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و ده نفر نیز در این زمینه وجود دارد.</w:t>
      </w:r>
    </w:p>
    <w:p w:rsidR="00C3217D" w:rsidRPr="00BE45DD" w:rsidRDefault="0023794F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در این زمینه حتی استحساناتی در کتب عامه و خاصه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23794F" w:rsidRPr="00BE45DD" w:rsidRDefault="0023794F" w:rsidP="00E34A52">
      <w:pPr>
        <w:pStyle w:val="Heading4"/>
        <w:ind w:firstLine="0"/>
        <w:rPr>
          <w:rFonts w:ascii="IRBadr" w:hAnsi="IRBadr" w:cs="IRBadr"/>
          <w:rtl/>
        </w:rPr>
      </w:pPr>
      <w:bookmarkStart w:id="20" w:name="_Toc425844550"/>
      <w:r w:rsidRPr="00BE45DD">
        <w:rPr>
          <w:rFonts w:ascii="IRBadr" w:hAnsi="IRBadr" w:cs="IRBadr"/>
          <w:rtl/>
        </w:rPr>
        <w:t>اتخاذ مبنا</w:t>
      </w:r>
      <w:bookmarkEnd w:id="20"/>
    </w:p>
    <w:p w:rsidR="0023794F" w:rsidRPr="00BE45DD" w:rsidRDefault="0023794F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حکم الزامی در اینجا سه نفر است و در موارد اقل و اکثر حمل بر متیقن خواهد شد و دیگر اقوال بیان شده چندان از اعتباری برخوردار نیست.</w:t>
      </w:r>
    </w:p>
    <w:p w:rsidR="0023794F" w:rsidRPr="00BE45DD" w:rsidRDefault="0023794F" w:rsidP="00E34A52">
      <w:pPr>
        <w:pStyle w:val="Heading4"/>
        <w:ind w:firstLine="0"/>
        <w:rPr>
          <w:rFonts w:ascii="IRBadr" w:hAnsi="IRBadr" w:cs="IRBadr"/>
          <w:rtl/>
        </w:rPr>
      </w:pPr>
      <w:bookmarkStart w:id="21" w:name="_Toc425844551"/>
      <w:r w:rsidRPr="00BE45DD">
        <w:rPr>
          <w:rFonts w:ascii="IRBadr" w:hAnsi="IRBadr" w:cs="IRBadr"/>
          <w:rtl/>
        </w:rPr>
        <w:t>مقام دوم</w:t>
      </w:r>
      <w:bookmarkEnd w:id="21"/>
    </w:p>
    <w:p w:rsidR="0023794F" w:rsidRPr="00BE45DD" w:rsidRDefault="0023794F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در اینجا روایات خاصی وجود دارد که طایفه بر یک نفر هم اطلاق شده است،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B40270" w:rsidRPr="00BE45DD">
        <w:rPr>
          <w:rFonts w:ascii="IRBadr" w:hAnsi="IRBadr" w:cs="IRBadr"/>
          <w:sz w:val="28"/>
          <w:szCs w:val="28"/>
          <w:rtl/>
          <w:lang w:bidi="fa-IR"/>
        </w:rPr>
        <w:t xml:space="preserve"> وارده در این زمینه روایت قیس بن ابراهیم است که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="00B40270" w:rsidRPr="00BE45DD">
        <w:rPr>
          <w:rFonts w:ascii="IRBadr" w:hAnsi="IRBadr" w:cs="IRBadr"/>
          <w:sz w:val="28"/>
          <w:szCs w:val="28"/>
          <w:rtl/>
          <w:lang w:bidi="fa-IR"/>
        </w:rPr>
        <w:t xml:space="preserve"> سندی نیز با مشکلی مواجه نیست، از امام باقر (ع) سؤال پرسید که منظور از طایفه چیست که حضرت پاسخ دادند؛</w:t>
      </w:r>
    </w:p>
    <w:p w:rsidR="00B40270" w:rsidRPr="00BE45DD" w:rsidRDefault="00E34A52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طایفه واحد است.</w:t>
      </w:r>
    </w:p>
    <w:p w:rsidR="00B40270" w:rsidRPr="00BE45DD" w:rsidRDefault="00B40270" w:rsidP="00E34A52">
      <w:pPr>
        <w:pStyle w:val="Heading4"/>
        <w:ind w:firstLine="0"/>
        <w:rPr>
          <w:rFonts w:ascii="IRBadr" w:hAnsi="IRBadr" w:cs="IRBadr"/>
          <w:rtl/>
        </w:rPr>
      </w:pPr>
      <w:bookmarkStart w:id="22" w:name="_Toc425844552"/>
      <w:r w:rsidRPr="00BE45DD">
        <w:rPr>
          <w:rFonts w:ascii="IRBadr" w:hAnsi="IRBadr" w:cs="IRBadr"/>
          <w:rtl/>
        </w:rPr>
        <w:t>حل مشکل تعارض</w:t>
      </w:r>
      <w:bookmarkEnd w:id="22"/>
    </w:p>
    <w:p w:rsidR="00B40270" w:rsidRPr="00BE45DD" w:rsidRDefault="00B40270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بنابر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در لغت وجود داشت،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اطلاق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طایفه بر فرد واحد غلط است!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در این صورت باید،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فوق را کنار گذاشت؟</w:t>
      </w:r>
    </w:p>
    <w:p w:rsidR="00B40270" w:rsidRPr="00BE45DD" w:rsidRDefault="00B40270" w:rsidP="00E34A52">
      <w:pPr>
        <w:pStyle w:val="Heading4"/>
        <w:ind w:firstLine="0"/>
        <w:rPr>
          <w:rFonts w:ascii="IRBadr" w:hAnsi="IRBadr" w:cs="IRBadr"/>
          <w:rtl/>
        </w:rPr>
      </w:pPr>
      <w:bookmarkStart w:id="23" w:name="_Toc425844553"/>
      <w:r w:rsidRPr="00BE45DD">
        <w:rPr>
          <w:rFonts w:ascii="IRBadr" w:hAnsi="IRBadr" w:cs="IRBadr"/>
          <w:rtl/>
        </w:rPr>
        <w:t>اتخاذ مبنا</w:t>
      </w:r>
      <w:bookmarkEnd w:id="23"/>
    </w:p>
    <w:p w:rsidR="00B40270" w:rsidRPr="00BE45DD" w:rsidRDefault="00B40270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در برخی لغات این لفظ بر فرد واحد نیز اطلاق شده است. لذا حداقل امر در اینجا این است که طایفه به معنای مجازی در اینجا صادق خواهد بود.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روایت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در فوق مبنای بحث خواهد شد.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اینکه یک نفر،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مجری حد نیز تحقق پیدا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یا اینکه باید غیر از او باشد؟</w:t>
      </w:r>
    </w:p>
    <w:p w:rsidR="00B40270" w:rsidRPr="00BE45DD" w:rsidRDefault="00B40270" w:rsidP="00E34A52">
      <w:pPr>
        <w:pStyle w:val="Heading4"/>
        <w:ind w:firstLine="0"/>
        <w:rPr>
          <w:rFonts w:ascii="IRBadr" w:hAnsi="IRBadr" w:cs="IRBadr"/>
        </w:rPr>
      </w:pPr>
      <w:bookmarkStart w:id="24" w:name="_Toc425844554"/>
      <w:r w:rsidRPr="00BE45DD">
        <w:rPr>
          <w:rFonts w:ascii="IRBadr" w:hAnsi="IRBadr" w:cs="IRBadr"/>
          <w:rtl/>
        </w:rPr>
        <w:t>احتمالات در فرض فوق</w:t>
      </w:r>
      <w:bookmarkEnd w:id="24"/>
    </w:p>
    <w:p w:rsidR="00B40270" w:rsidRPr="00BE45DD" w:rsidRDefault="00B40270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مکن است ادعا شود که در این فرض اطلاق وجود دارد </w:t>
      </w:r>
      <w:r w:rsidR="00A377E7" w:rsidRPr="00BE45DD">
        <w:rPr>
          <w:rFonts w:ascii="IRBadr" w:hAnsi="IRBadr" w:cs="IRBadr"/>
          <w:sz w:val="28"/>
          <w:szCs w:val="28"/>
          <w:rtl/>
          <w:lang w:bidi="fa-IR"/>
        </w:rPr>
        <w:t xml:space="preserve">و آن را هم شامل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377E7" w:rsidRPr="00BE45DD">
        <w:rPr>
          <w:rFonts w:ascii="IRBadr" w:hAnsi="IRBadr" w:cs="IRBadr"/>
          <w:sz w:val="28"/>
          <w:szCs w:val="28"/>
          <w:rtl/>
          <w:lang w:bidi="fa-IR"/>
        </w:rPr>
        <w:t>. و ممکن است بگوییم باید فردی غیر از او حاضر باشد. لکن بعید نیست در اینجا اطلاق وجود داشته باشد. اما در قضیه این است که قائل به عدم اطلاق شویم.</w:t>
      </w:r>
    </w:p>
    <w:p w:rsidR="00B40270" w:rsidRPr="00BE45DD" w:rsidRDefault="00A377E7" w:rsidP="00E34A52">
      <w:pPr>
        <w:pStyle w:val="Heading4"/>
        <w:ind w:firstLine="0"/>
        <w:rPr>
          <w:rFonts w:ascii="IRBadr" w:hAnsi="IRBadr" w:cs="IRBadr"/>
          <w:rtl/>
        </w:rPr>
      </w:pPr>
      <w:bookmarkStart w:id="25" w:name="_Toc425844555"/>
      <w:r w:rsidRPr="00BE45DD">
        <w:rPr>
          <w:rFonts w:ascii="IRBadr" w:hAnsi="IRBadr" w:cs="IRBadr"/>
          <w:rtl/>
        </w:rPr>
        <w:t>نوع وجوب</w:t>
      </w:r>
      <w:bookmarkEnd w:id="25"/>
    </w:p>
    <w:p w:rsidR="00A377E7" w:rsidRPr="00BE45DD" w:rsidRDefault="00A377E7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این سؤال وجود دارد که در صورت قائل شدن به وجوب،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وجوب عینی است یا کفایی؟</w:t>
      </w:r>
    </w:p>
    <w:p w:rsidR="00A377E7" w:rsidRPr="00BE45DD" w:rsidRDefault="00A377E7" w:rsidP="00E34A52">
      <w:pPr>
        <w:pStyle w:val="Heading4"/>
        <w:ind w:firstLine="0"/>
        <w:rPr>
          <w:rFonts w:ascii="IRBadr" w:hAnsi="IRBadr" w:cs="IRBadr"/>
          <w:rtl/>
        </w:rPr>
      </w:pPr>
      <w:bookmarkStart w:id="26" w:name="_Toc425844556"/>
      <w:r w:rsidRPr="00BE45DD">
        <w:rPr>
          <w:rFonts w:ascii="IRBadr" w:hAnsi="IRBadr" w:cs="IRBadr"/>
          <w:rtl/>
        </w:rPr>
        <w:lastRenderedPageBreak/>
        <w:t>اتخاذ مبنا</w:t>
      </w:r>
      <w:bookmarkEnd w:id="26"/>
    </w:p>
    <w:p w:rsidR="00A377E7" w:rsidRPr="00BE45DD" w:rsidRDefault="00A377E7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جواب این سؤال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به‌روشنی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مشخص است که مراد در اینجا وجوب کفایی است. حتی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از تنوین موجود در کلمه طایفه در آیه شریفه به این مبنا رسید.</w:t>
      </w:r>
    </w:p>
    <w:p w:rsidR="00B40270" w:rsidRPr="00BE45DD" w:rsidRDefault="00A377E7" w:rsidP="00E34A52">
      <w:pPr>
        <w:pStyle w:val="Heading4"/>
        <w:ind w:firstLine="0"/>
        <w:rPr>
          <w:rFonts w:ascii="IRBadr" w:hAnsi="IRBadr" w:cs="IRBadr"/>
          <w:rtl/>
        </w:rPr>
      </w:pPr>
      <w:bookmarkStart w:id="27" w:name="_Toc425844557"/>
      <w:r w:rsidRPr="00BE45DD">
        <w:rPr>
          <w:rFonts w:ascii="IRBadr" w:hAnsi="IRBadr" w:cs="IRBadr"/>
          <w:rtl/>
        </w:rPr>
        <w:t>کفایت زن جهت شهادت</w:t>
      </w:r>
      <w:bookmarkEnd w:id="27"/>
    </w:p>
    <w:p w:rsidR="00A377E7" w:rsidRPr="00BE45DD" w:rsidRDefault="00874736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سؤال دیگری در این مقام باید بدان پاسخ داد این است که آیا جهت شهادت،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یک زن نیز کافی است؟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یا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فرد واحد مکفی به باید مرد باشد؟</w:t>
      </w:r>
    </w:p>
    <w:p w:rsidR="00874736" w:rsidRPr="00BE45DD" w:rsidRDefault="00874736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آقای گلپایگانی بر این عقیده است که آن فرد باید مرد باشد،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B27DDD" w:rsidRPr="00BE45DD">
        <w:rPr>
          <w:rFonts w:ascii="IRBadr" w:hAnsi="IRBadr" w:cs="IRBadr"/>
          <w:sz w:val="28"/>
          <w:szCs w:val="28"/>
          <w:rtl/>
          <w:lang w:bidi="fa-IR"/>
        </w:rPr>
        <w:t xml:space="preserve"> طبق مذاق شرع در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B27DDD" w:rsidRPr="00BE45DD">
        <w:rPr>
          <w:rFonts w:ascii="IRBadr" w:hAnsi="IRBadr" w:cs="IRBadr"/>
          <w:sz w:val="28"/>
          <w:szCs w:val="28"/>
          <w:rtl/>
          <w:lang w:bidi="fa-IR"/>
        </w:rPr>
        <w:t xml:space="preserve"> امور تنها به مرد اکتفا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B27DDD" w:rsidRPr="00BE45D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27DDD" w:rsidRPr="00BE45DD" w:rsidRDefault="00B27DDD" w:rsidP="00E34A52">
      <w:pPr>
        <w:pStyle w:val="Heading4"/>
        <w:ind w:firstLine="0"/>
        <w:rPr>
          <w:rFonts w:ascii="IRBadr" w:hAnsi="IRBadr" w:cs="IRBadr"/>
          <w:rtl/>
        </w:rPr>
      </w:pPr>
      <w:bookmarkStart w:id="28" w:name="_Toc425844558"/>
      <w:r w:rsidRPr="00BE45DD">
        <w:rPr>
          <w:rFonts w:ascii="IRBadr" w:hAnsi="IRBadr" w:cs="IRBadr"/>
          <w:rtl/>
        </w:rPr>
        <w:t>اتخاذ مبنا</w:t>
      </w:r>
      <w:bookmarkEnd w:id="28"/>
    </w:p>
    <w:p w:rsidR="00B27DDD" w:rsidRPr="00BE45DD" w:rsidRDefault="00B27DDD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>در ارزیابی این گفتار باید گفت: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سخن وجهی ندارد.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جای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تعجب است و در حقیقت گفتار ایشان استحسانی بیش نیست.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یافتن مذاق شرع باید اطمینان وجود داشته باشد.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در این زمینه فرقی بین مذکر و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مؤنث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وجود ندارد.</w:t>
      </w:r>
    </w:p>
    <w:p w:rsidR="00B27DDD" w:rsidRPr="00BE45DD" w:rsidRDefault="00B27DDD" w:rsidP="00E34A52">
      <w:pPr>
        <w:pStyle w:val="Heading4"/>
        <w:ind w:firstLine="0"/>
        <w:rPr>
          <w:rFonts w:ascii="IRBadr" w:hAnsi="IRBadr" w:cs="IRBadr"/>
          <w:rtl/>
        </w:rPr>
      </w:pPr>
      <w:bookmarkStart w:id="29" w:name="_Toc425844559"/>
      <w:r w:rsidRPr="00BE45DD">
        <w:rPr>
          <w:rFonts w:ascii="IRBadr" w:hAnsi="IRBadr" w:cs="IRBadr"/>
          <w:rtl/>
        </w:rPr>
        <w:t>بلوغ شاهد</w:t>
      </w:r>
      <w:bookmarkEnd w:id="29"/>
    </w:p>
    <w:p w:rsidR="00B27DDD" w:rsidRPr="00BE45DD" w:rsidRDefault="00B27DDD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آیا باید شاهد به بلوغ رسیده باشد یا اینکه ممیز باشد هم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کافی است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؟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3A1B" w:rsidRPr="00BE45DD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دلیل از غیر ممیز منصرف است و مؤمن نیز شاید بر او صدق نکند.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 xml:space="preserve"> ظاهراً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بر غیر بالغی که ممیز است، صدق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27DDD" w:rsidRPr="00BE45DD" w:rsidRDefault="00B27DDD" w:rsidP="00E34A52">
      <w:pPr>
        <w:pStyle w:val="Heading4"/>
        <w:ind w:firstLine="0"/>
        <w:rPr>
          <w:rFonts w:ascii="IRBadr" w:hAnsi="IRBadr" w:cs="IRBadr"/>
          <w:rtl/>
        </w:rPr>
      </w:pPr>
      <w:bookmarkStart w:id="30" w:name="_Toc425844560"/>
      <w:r w:rsidRPr="00BE45DD">
        <w:rPr>
          <w:rFonts w:ascii="IRBadr" w:hAnsi="IRBadr" w:cs="IRBadr"/>
          <w:rtl/>
        </w:rPr>
        <w:t>لزوم اسلام</w:t>
      </w:r>
      <w:bookmarkEnd w:id="30"/>
    </w:p>
    <w:p w:rsidR="00B27DDD" w:rsidRPr="00BE45DD" w:rsidRDefault="00B27DDD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طبق آنچه از آیه به دست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 xml:space="preserve"> شاهدان باید مؤمن و مسلمان باشند و وجود کافر در این زمینه کفایت </w:t>
      </w:r>
      <w:r w:rsidR="00E34A52" w:rsidRPr="00BE45DD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BE45D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377E7" w:rsidRPr="00BE45DD" w:rsidRDefault="00A377E7" w:rsidP="00E34A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BE45DD" w:rsidRDefault="00152670" w:rsidP="00E34A52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BE45DD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61" w:rsidRDefault="00567961" w:rsidP="000D5800">
      <w:pPr>
        <w:spacing w:after="0" w:line="240" w:lineRule="auto"/>
      </w:pPr>
      <w:r>
        <w:separator/>
      </w:r>
    </w:p>
  </w:endnote>
  <w:endnote w:type="continuationSeparator" w:id="0">
    <w:p w:rsidR="00567961" w:rsidRDefault="00567961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61" w:rsidRDefault="00567961" w:rsidP="002D31CB">
      <w:pPr>
        <w:bidi/>
        <w:spacing w:after="0" w:line="240" w:lineRule="auto"/>
      </w:pPr>
      <w:r>
        <w:separator/>
      </w:r>
    </w:p>
  </w:footnote>
  <w:footnote w:type="continuationSeparator" w:id="0">
    <w:p w:rsidR="00567961" w:rsidRDefault="00567961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610DD1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9C9C006" wp14:editId="2BD87F1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54E0E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31" w:name="OLE_LINK1"/>
    <w:bookmarkStart w:id="32" w:name="OLE_LINK2"/>
    <w:r>
      <w:rPr>
        <w:noProof/>
        <w:lang w:bidi="fa-IR"/>
      </w:rPr>
      <w:drawing>
        <wp:inline distT="0" distB="0" distL="0" distR="0" wp14:anchorId="2B91930B" wp14:editId="0AC2C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1"/>
    <w:bookmarkEnd w:id="32"/>
    <w:r w:rsidR="00E34A52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10DD1">
      <w:rPr>
        <w:rFonts w:ascii="IranNastaliq" w:hAnsi="IranNastaliq" w:cs="IranNastaliq" w:hint="cs"/>
        <w:sz w:val="40"/>
        <w:szCs w:val="40"/>
        <w:rtl/>
      </w:rPr>
      <w:t>775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D1"/>
    <w:rsid w:val="000228A2"/>
    <w:rsid w:val="000324F1"/>
    <w:rsid w:val="00041FE0"/>
    <w:rsid w:val="00052BA3"/>
    <w:rsid w:val="0006363E"/>
    <w:rsid w:val="00072CE8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B385C"/>
    <w:rsid w:val="001C367D"/>
    <w:rsid w:val="001D24F8"/>
    <w:rsid w:val="001D542D"/>
    <w:rsid w:val="001E306E"/>
    <w:rsid w:val="001E3FB0"/>
    <w:rsid w:val="001E4FFF"/>
    <w:rsid w:val="001F1CC1"/>
    <w:rsid w:val="001F2E3E"/>
    <w:rsid w:val="00224C0A"/>
    <w:rsid w:val="002376A5"/>
    <w:rsid w:val="0023794F"/>
    <w:rsid w:val="002417C9"/>
    <w:rsid w:val="002529C5"/>
    <w:rsid w:val="002542E9"/>
    <w:rsid w:val="00270294"/>
    <w:rsid w:val="002914BD"/>
    <w:rsid w:val="00297263"/>
    <w:rsid w:val="002C56FD"/>
    <w:rsid w:val="002D31CB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F76A1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67961"/>
    <w:rsid w:val="00572E2D"/>
    <w:rsid w:val="00592103"/>
    <w:rsid w:val="005941DD"/>
    <w:rsid w:val="005A545E"/>
    <w:rsid w:val="005A5862"/>
    <w:rsid w:val="005B0852"/>
    <w:rsid w:val="005C06AE"/>
    <w:rsid w:val="00610C18"/>
    <w:rsid w:val="00610DD1"/>
    <w:rsid w:val="00612385"/>
    <w:rsid w:val="0061376C"/>
    <w:rsid w:val="00636EFA"/>
    <w:rsid w:val="0066229C"/>
    <w:rsid w:val="00671DB1"/>
    <w:rsid w:val="00675E25"/>
    <w:rsid w:val="0069696C"/>
    <w:rsid w:val="006A085A"/>
    <w:rsid w:val="006D3A87"/>
    <w:rsid w:val="006F01B4"/>
    <w:rsid w:val="0071341F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3DB2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48DB"/>
    <w:rsid w:val="00845CC4"/>
    <w:rsid w:val="008644F4"/>
    <w:rsid w:val="00874736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E7B3D"/>
    <w:rsid w:val="009F4EB3"/>
    <w:rsid w:val="00A06D48"/>
    <w:rsid w:val="00A21834"/>
    <w:rsid w:val="00A31C17"/>
    <w:rsid w:val="00A31FDE"/>
    <w:rsid w:val="00A35AC2"/>
    <w:rsid w:val="00A377E7"/>
    <w:rsid w:val="00A37C77"/>
    <w:rsid w:val="00A5418D"/>
    <w:rsid w:val="00A725C2"/>
    <w:rsid w:val="00A73A1B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27DDD"/>
    <w:rsid w:val="00B40270"/>
    <w:rsid w:val="00B63F15"/>
    <w:rsid w:val="00B92538"/>
    <w:rsid w:val="00BB5F7E"/>
    <w:rsid w:val="00BC26F6"/>
    <w:rsid w:val="00BC4833"/>
    <w:rsid w:val="00BD3122"/>
    <w:rsid w:val="00BD40DA"/>
    <w:rsid w:val="00BE45DD"/>
    <w:rsid w:val="00BF3D67"/>
    <w:rsid w:val="00C160AF"/>
    <w:rsid w:val="00C22299"/>
    <w:rsid w:val="00C25609"/>
    <w:rsid w:val="00C262D7"/>
    <w:rsid w:val="00C26607"/>
    <w:rsid w:val="00C3217D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4A52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0747"/>
    <w:rsid w:val="00EF138C"/>
    <w:rsid w:val="00EF5D5A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10D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34A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3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10D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34A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3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471A-77A3-47BD-BF3B-4EC50CFA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206</TotalTime>
  <Pages>8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16</cp:revision>
  <dcterms:created xsi:type="dcterms:W3CDTF">2014-12-20T10:05:00Z</dcterms:created>
  <dcterms:modified xsi:type="dcterms:W3CDTF">2015-08-13T08:04:00Z</dcterms:modified>
</cp:coreProperties>
</file>