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7" w:rsidRPr="000802D4" w:rsidRDefault="008C3850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E956D7" w:rsidRPr="000802D4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012EBF" w:rsidRPr="000802D4" w:rsidRDefault="00012EBF" w:rsidP="00012E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12EBF" w:rsidRPr="000802D4" w:rsidRDefault="00012EBF" w:rsidP="00012E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0802D4">
        <w:rPr>
          <w:rFonts w:ascii="IRBadr" w:hAnsi="IRBadr" w:cs="IRBadr"/>
          <w:sz w:val="28"/>
          <w:rtl/>
        </w:rPr>
        <w:fldChar w:fldCharType="begin"/>
      </w:r>
      <w:r w:rsidRPr="000802D4">
        <w:rPr>
          <w:rFonts w:ascii="IRBadr" w:hAnsi="IRBadr" w:cs="IRBadr"/>
          <w:sz w:val="28"/>
          <w:rtl/>
        </w:rPr>
        <w:instrText xml:space="preserve"> </w:instrText>
      </w:r>
      <w:r w:rsidRPr="000802D4">
        <w:rPr>
          <w:rFonts w:ascii="IRBadr" w:hAnsi="IRBadr" w:cs="IRBadr"/>
          <w:sz w:val="28"/>
        </w:rPr>
        <w:instrText>TOC</w:instrText>
      </w:r>
      <w:r w:rsidRPr="000802D4">
        <w:rPr>
          <w:rFonts w:ascii="IRBadr" w:hAnsi="IRBadr" w:cs="IRBadr"/>
          <w:sz w:val="28"/>
          <w:rtl/>
        </w:rPr>
        <w:instrText xml:space="preserve"> \</w:instrText>
      </w:r>
      <w:r w:rsidRPr="000802D4">
        <w:rPr>
          <w:rFonts w:ascii="IRBadr" w:hAnsi="IRBadr" w:cs="IRBadr"/>
          <w:sz w:val="28"/>
        </w:rPr>
        <w:instrText>o "</w:instrText>
      </w:r>
      <w:r w:rsidRPr="000802D4">
        <w:rPr>
          <w:rFonts w:ascii="IRBadr" w:hAnsi="IRBadr" w:cs="IRBadr"/>
          <w:sz w:val="28"/>
          <w:rtl/>
        </w:rPr>
        <w:instrText>1-4</w:instrText>
      </w:r>
      <w:r w:rsidRPr="000802D4">
        <w:rPr>
          <w:rFonts w:ascii="IRBadr" w:hAnsi="IRBadr" w:cs="IRBadr"/>
          <w:sz w:val="28"/>
        </w:rPr>
        <w:instrText>" \h \z \u</w:instrText>
      </w:r>
      <w:r w:rsidRPr="000802D4">
        <w:rPr>
          <w:rFonts w:ascii="IRBadr" w:hAnsi="IRBadr" w:cs="IRBadr"/>
          <w:sz w:val="28"/>
          <w:rtl/>
        </w:rPr>
        <w:instrText xml:space="preserve"> </w:instrText>
      </w:r>
      <w:r w:rsidRPr="000802D4">
        <w:rPr>
          <w:rFonts w:ascii="IRBadr" w:hAnsi="IRBadr" w:cs="IRBadr"/>
          <w:sz w:val="28"/>
          <w:rtl/>
        </w:rPr>
        <w:fldChar w:fldCharType="separate"/>
      </w:r>
      <w:hyperlink w:anchor="_Toc425933040" w:history="1">
        <w:r w:rsidRPr="000802D4">
          <w:rPr>
            <w:rStyle w:val="Hyperlink"/>
            <w:rFonts w:ascii="IRBadr" w:hAnsi="IRBadr" w:cs="IRBadr"/>
            <w:noProof/>
            <w:rtl/>
          </w:rPr>
          <w:t>مناقشه در روایات مثبت حضور</w:t>
        </w:r>
        <w:r w:rsidRPr="000802D4">
          <w:rPr>
            <w:rFonts w:ascii="IRBadr" w:hAnsi="IRBadr" w:cs="IRBadr"/>
            <w:noProof/>
            <w:webHidden/>
          </w:rPr>
          <w:tab/>
        </w:r>
        <w:r w:rsidRPr="000802D4">
          <w:rPr>
            <w:rFonts w:ascii="IRBadr" w:hAnsi="IRBadr" w:cs="IRBadr"/>
            <w:noProof/>
            <w:webHidden/>
          </w:rPr>
          <w:fldChar w:fldCharType="begin"/>
        </w:r>
        <w:r w:rsidRPr="000802D4">
          <w:rPr>
            <w:rFonts w:ascii="IRBadr" w:hAnsi="IRBadr" w:cs="IRBadr"/>
            <w:noProof/>
            <w:webHidden/>
          </w:rPr>
          <w:instrText xml:space="preserve"> PAGEREF _Toc425933040 \h </w:instrText>
        </w:r>
        <w:r w:rsidRPr="000802D4">
          <w:rPr>
            <w:rFonts w:ascii="IRBadr" w:hAnsi="IRBadr" w:cs="IRBadr"/>
            <w:noProof/>
            <w:webHidden/>
          </w:rPr>
        </w:r>
        <w:r w:rsidRPr="000802D4">
          <w:rPr>
            <w:rFonts w:ascii="IRBadr" w:hAnsi="IRBadr" w:cs="IRBadr"/>
            <w:noProof/>
            <w:webHidden/>
          </w:rPr>
          <w:fldChar w:fldCharType="separate"/>
        </w:r>
        <w:r w:rsidRPr="000802D4">
          <w:rPr>
            <w:rFonts w:ascii="IRBadr" w:hAnsi="IRBadr" w:cs="IRBadr"/>
            <w:noProof/>
            <w:webHidden/>
          </w:rPr>
          <w:t>1</w:t>
        </w:r>
        <w:r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FF6C95" w:rsidP="00012E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041" w:history="1">
        <w:r w:rsidR="00012EBF" w:rsidRPr="000802D4">
          <w:rPr>
            <w:rStyle w:val="Hyperlink"/>
            <w:rFonts w:ascii="IRBadr" w:hAnsi="IRBadr" w:cs="IRBadr"/>
            <w:noProof/>
            <w:rtl/>
          </w:rPr>
          <w:t>مناقشه اول</w:t>
        </w:r>
        <w:r w:rsidR="00012EBF" w:rsidRPr="000802D4">
          <w:rPr>
            <w:rFonts w:ascii="IRBadr" w:hAnsi="IRBadr" w:cs="IRBadr"/>
            <w:noProof/>
            <w:webHidden/>
          </w:rPr>
          <w:tab/>
        </w:r>
        <w:r w:rsidR="00012EBF" w:rsidRPr="000802D4">
          <w:rPr>
            <w:rFonts w:ascii="IRBadr" w:hAnsi="IRBadr" w:cs="IRBadr"/>
            <w:noProof/>
            <w:webHidden/>
          </w:rPr>
          <w:fldChar w:fldCharType="begin"/>
        </w:r>
        <w:r w:rsidR="00012EBF" w:rsidRPr="000802D4">
          <w:rPr>
            <w:rFonts w:ascii="IRBadr" w:hAnsi="IRBadr" w:cs="IRBadr"/>
            <w:noProof/>
            <w:webHidden/>
          </w:rPr>
          <w:instrText xml:space="preserve"> PAGEREF _Toc425933041 \h </w:instrText>
        </w:r>
        <w:r w:rsidR="00012EBF" w:rsidRPr="000802D4">
          <w:rPr>
            <w:rFonts w:ascii="IRBadr" w:hAnsi="IRBadr" w:cs="IRBadr"/>
            <w:noProof/>
            <w:webHidden/>
          </w:rPr>
        </w:r>
        <w:r w:rsidR="00012EBF" w:rsidRPr="000802D4">
          <w:rPr>
            <w:rFonts w:ascii="IRBadr" w:hAnsi="IRBadr" w:cs="IRBadr"/>
            <w:noProof/>
            <w:webHidden/>
          </w:rPr>
          <w:fldChar w:fldCharType="separate"/>
        </w:r>
        <w:r w:rsidR="00012EBF" w:rsidRPr="000802D4">
          <w:rPr>
            <w:rFonts w:ascii="IRBadr" w:hAnsi="IRBadr" w:cs="IRBadr"/>
            <w:noProof/>
            <w:webHidden/>
          </w:rPr>
          <w:t>1</w:t>
        </w:r>
        <w:r w:rsidR="00012EBF"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FF6C95" w:rsidP="00012EB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5933042" w:history="1">
        <w:r w:rsidR="00012EBF" w:rsidRPr="000802D4">
          <w:rPr>
            <w:rStyle w:val="Hyperlink"/>
            <w:rFonts w:ascii="IRBadr" w:hAnsi="IRBadr" w:cs="IRBadr"/>
            <w:noProof/>
            <w:rtl/>
          </w:rPr>
          <w:t>تطبیق بحث</w:t>
        </w:r>
        <w:r w:rsidR="00012EBF" w:rsidRPr="000802D4">
          <w:rPr>
            <w:rFonts w:ascii="IRBadr" w:hAnsi="IRBadr" w:cs="IRBadr"/>
            <w:noProof/>
            <w:webHidden/>
          </w:rPr>
          <w:tab/>
        </w:r>
        <w:r w:rsidR="00012EBF" w:rsidRPr="000802D4">
          <w:rPr>
            <w:rFonts w:ascii="IRBadr" w:hAnsi="IRBadr" w:cs="IRBadr"/>
            <w:noProof/>
            <w:webHidden/>
          </w:rPr>
          <w:fldChar w:fldCharType="begin"/>
        </w:r>
        <w:r w:rsidR="00012EBF" w:rsidRPr="000802D4">
          <w:rPr>
            <w:rFonts w:ascii="IRBadr" w:hAnsi="IRBadr" w:cs="IRBadr"/>
            <w:noProof/>
            <w:webHidden/>
          </w:rPr>
          <w:instrText xml:space="preserve"> PAGEREF _Toc425933042 \h </w:instrText>
        </w:r>
        <w:r w:rsidR="00012EBF" w:rsidRPr="000802D4">
          <w:rPr>
            <w:rFonts w:ascii="IRBadr" w:hAnsi="IRBadr" w:cs="IRBadr"/>
            <w:noProof/>
            <w:webHidden/>
          </w:rPr>
        </w:r>
        <w:r w:rsidR="00012EBF" w:rsidRPr="000802D4">
          <w:rPr>
            <w:rFonts w:ascii="IRBadr" w:hAnsi="IRBadr" w:cs="IRBadr"/>
            <w:noProof/>
            <w:webHidden/>
          </w:rPr>
          <w:fldChar w:fldCharType="separate"/>
        </w:r>
        <w:r w:rsidR="00012EBF" w:rsidRPr="000802D4">
          <w:rPr>
            <w:rFonts w:ascii="IRBadr" w:hAnsi="IRBadr" w:cs="IRBadr"/>
            <w:noProof/>
            <w:webHidden/>
          </w:rPr>
          <w:t>1</w:t>
        </w:r>
        <w:r w:rsidR="00012EBF"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FF6C95" w:rsidP="00012EB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3043" w:history="1">
        <w:r w:rsidR="00012EBF" w:rsidRPr="000802D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012EBF" w:rsidRPr="000802D4">
          <w:rPr>
            <w:rFonts w:ascii="IRBadr" w:hAnsi="IRBadr" w:cs="IRBadr"/>
            <w:noProof/>
            <w:webHidden/>
          </w:rPr>
          <w:tab/>
        </w:r>
        <w:r w:rsidR="00012EBF" w:rsidRPr="000802D4">
          <w:rPr>
            <w:rFonts w:ascii="IRBadr" w:hAnsi="IRBadr" w:cs="IRBadr"/>
            <w:noProof/>
            <w:webHidden/>
          </w:rPr>
          <w:fldChar w:fldCharType="begin"/>
        </w:r>
        <w:r w:rsidR="00012EBF" w:rsidRPr="000802D4">
          <w:rPr>
            <w:rFonts w:ascii="IRBadr" w:hAnsi="IRBadr" w:cs="IRBadr"/>
            <w:noProof/>
            <w:webHidden/>
          </w:rPr>
          <w:instrText xml:space="preserve"> PAGEREF _Toc425933043 \h </w:instrText>
        </w:r>
        <w:r w:rsidR="00012EBF" w:rsidRPr="000802D4">
          <w:rPr>
            <w:rFonts w:ascii="IRBadr" w:hAnsi="IRBadr" w:cs="IRBadr"/>
            <w:noProof/>
            <w:webHidden/>
          </w:rPr>
        </w:r>
        <w:r w:rsidR="00012EBF" w:rsidRPr="000802D4">
          <w:rPr>
            <w:rFonts w:ascii="IRBadr" w:hAnsi="IRBadr" w:cs="IRBadr"/>
            <w:noProof/>
            <w:webHidden/>
          </w:rPr>
          <w:fldChar w:fldCharType="separate"/>
        </w:r>
        <w:r w:rsidR="00012EBF" w:rsidRPr="000802D4">
          <w:rPr>
            <w:rFonts w:ascii="IRBadr" w:hAnsi="IRBadr" w:cs="IRBadr"/>
            <w:noProof/>
            <w:webHidden/>
          </w:rPr>
          <w:t>2</w:t>
        </w:r>
        <w:r w:rsidR="00012EBF"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FF6C95" w:rsidP="00012EB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3044" w:history="1">
        <w:r w:rsidR="00012EBF" w:rsidRPr="000802D4">
          <w:rPr>
            <w:rStyle w:val="Hyperlink"/>
            <w:rFonts w:ascii="IRBadr" w:hAnsi="IRBadr" w:cs="IRBadr"/>
            <w:noProof/>
            <w:rtl/>
          </w:rPr>
          <w:t>سیره در نزد عامه</w:t>
        </w:r>
        <w:r w:rsidR="00012EBF" w:rsidRPr="000802D4">
          <w:rPr>
            <w:rFonts w:ascii="IRBadr" w:hAnsi="IRBadr" w:cs="IRBadr"/>
            <w:noProof/>
            <w:webHidden/>
          </w:rPr>
          <w:tab/>
        </w:r>
        <w:r w:rsidR="00012EBF" w:rsidRPr="000802D4">
          <w:rPr>
            <w:rFonts w:ascii="IRBadr" w:hAnsi="IRBadr" w:cs="IRBadr"/>
            <w:noProof/>
            <w:webHidden/>
          </w:rPr>
          <w:fldChar w:fldCharType="begin"/>
        </w:r>
        <w:r w:rsidR="00012EBF" w:rsidRPr="000802D4">
          <w:rPr>
            <w:rFonts w:ascii="IRBadr" w:hAnsi="IRBadr" w:cs="IRBadr"/>
            <w:noProof/>
            <w:webHidden/>
          </w:rPr>
          <w:instrText xml:space="preserve"> PAGEREF _Toc425933044 \h </w:instrText>
        </w:r>
        <w:r w:rsidR="00012EBF" w:rsidRPr="000802D4">
          <w:rPr>
            <w:rFonts w:ascii="IRBadr" w:hAnsi="IRBadr" w:cs="IRBadr"/>
            <w:noProof/>
            <w:webHidden/>
          </w:rPr>
        </w:r>
        <w:r w:rsidR="00012EBF" w:rsidRPr="000802D4">
          <w:rPr>
            <w:rFonts w:ascii="IRBadr" w:hAnsi="IRBadr" w:cs="IRBadr"/>
            <w:noProof/>
            <w:webHidden/>
          </w:rPr>
          <w:fldChar w:fldCharType="separate"/>
        </w:r>
        <w:r w:rsidR="00012EBF" w:rsidRPr="000802D4">
          <w:rPr>
            <w:rFonts w:ascii="IRBadr" w:hAnsi="IRBadr" w:cs="IRBadr"/>
            <w:noProof/>
            <w:webHidden/>
          </w:rPr>
          <w:t>2</w:t>
        </w:r>
        <w:r w:rsidR="00012EBF"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FF6C95" w:rsidP="00012EBF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3045" w:history="1">
        <w:r w:rsidR="00012EBF" w:rsidRPr="000802D4">
          <w:rPr>
            <w:rStyle w:val="Hyperlink"/>
            <w:rFonts w:ascii="IRBadr" w:hAnsi="IRBadr" w:cs="IRBadr"/>
            <w:noProof/>
            <w:rtl/>
          </w:rPr>
          <w:t>اشکال بر ابهام در دلالت</w:t>
        </w:r>
        <w:r w:rsidR="00012EBF" w:rsidRPr="000802D4">
          <w:rPr>
            <w:rFonts w:ascii="IRBadr" w:hAnsi="IRBadr" w:cs="IRBadr"/>
            <w:noProof/>
            <w:webHidden/>
          </w:rPr>
          <w:tab/>
        </w:r>
        <w:r w:rsidR="00012EBF" w:rsidRPr="000802D4">
          <w:rPr>
            <w:rFonts w:ascii="IRBadr" w:hAnsi="IRBadr" w:cs="IRBadr"/>
            <w:noProof/>
            <w:webHidden/>
          </w:rPr>
          <w:fldChar w:fldCharType="begin"/>
        </w:r>
        <w:r w:rsidR="00012EBF" w:rsidRPr="000802D4">
          <w:rPr>
            <w:rFonts w:ascii="IRBadr" w:hAnsi="IRBadr" w:cs="IRBadr"/>
            <w:noProof/>
            <w:webHidden/>
          </w:rPr>
          <w:instrText xml:space="preserve"> PAGEREF _Toc425933045 \h </w:instrText>
        </w:r>
        <w:r w:rsidR="00012EBF" w:rsidRPr="000802D4">
          <w:rPr>
            <w:rFonts w:ascii="IRBadr" w:hAnsi="IRBadr" w:cs="IRBadr"/>
            <w:noProof/>
            <w:webHidden/>
          </w:rPr>
        </w:r>
        <w:r w:rsidR="00012EBF" w:rsidRPr="000802D4">
          <w:rPr>
            <w:rFonts w:ascii="IRBadr" w:hAnsi="IRBadr" w:cs="IRBadr"/>
            <w:noProof/>
            <w:webHidden/>
          </w:rPr>
          <w:fldChar w:fldCharType="separate"/>
        </w:r>
        <w:r w:rsidR="00012EBF" w:rsidRPr="000802D4">
          <w:rPr>
            <w:rFonts w:ascii="IRBadr" w:hAnsi="IRBadr" w:cs="IRBadr"/>
            <w:noProof/>
            <w:webHidden/>
          </w:rPr>
          <w:t>2</w:t>
        </w:r>
        <w:r w:rsidR="00012EBF"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FF6C95" w:rsidP="00012EBF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5933046" w:history="1">
        <w:r w:rsidR="00012EBF" w:rsidRPr="000802D4">
          <w:rPr>
            <w:rStyle w:val="Hyperlink"/>
            <w:rFonts w:ascii="IRBadr" w:hAnsi="IRBadr" w:cs="IRBadr"/>
            <w:noProof/>
            <w:rtl/>
          </w:rPr>
          <w:t>خدشه در استدلال فوق</w:t>
        </w:r>
        <w:r w:rsidR="00012EBF" w:rsidRPr="000802D4">
          <w:rPr>
            <w:rFonts w:ascii="IRBadr" w:hAnsi="IRBadr" w:cs="IRBadr"/>
            <w:noProof/>
            <w:webHidden/>
          </w:rPr>
          <w:tab/>
        </w:r>
        <w:r w:rsidR="00012EBF" w:rsidRPr="000802D4">
          <w:rPr>
            <w:rFonts w:ascii="IRBadr" w:hAnsi="IRBadr" w:cs="IRBadr"/>
            <w:noProof/>
            <w:webHidden/>
          </w:rPr>
          <w:fldChar w:fldCharType="begin"/>
        </w:r>
        <w:r w:rsidR="00012EBF" w:rsidRPr="000802D4">
          <w:rPr>
            <w:rFonts w:ascii="IRBadr" w:hAnsi="IRBadr" w:cs="IRBadr"/>
            <w:noProof/>
            <w:webHidden/>
          </w:rPr>
          <w:instrText xml:space="preserve"> PAGEREF _Toc425933046 \h </w:instrText>
        </w:r>
        <w:r w:rsidR="00012EBF" w:rsidRPr="000802D4">
          <w:rPr>
            <w:rFonts w:ascii="IRBadr" w:hAnsi="IRBadr" w:cs="IRBadr"/>
            <w:noProof/>
            <w:webHidden/>
          </w:rPr>
        </w:r>
        <w:r w:rsidR="00012EBF" w:rsidRPr="000802D4">
          <w:rPr>
            <w:rFonts w:ascii="IRBadr" w:hAnsi="IRBadr" w:cs="IRBadr"/>
            <w:noProof/>
            <w:webHidden/>
          </w:rPr>
          <w:fldChar w:fldCharType="separate"/>
        </w:r>
        <w:r w:rsidR="00012EBF" w:rsidRPr="000802D4">
          <w:rPr>
            <w:rFonts w:ascii="IRBadr" w:hAnsi="IRBadr" w:cs="IRBadr"/>
            <w:noProof/>
            <w:webHidden/>
          </w:rPr>
          <w:t>2</w:t>
        </w:r>
        <w:r w:rsidR="00012EBF" w:rsidRPr="000802D4">
          <w:rPr>
            <w:rFonts w:ascii="IRBadr" w:hAnsi="IRBadr" w:cs="IRBadr"/>
            <w:noProof/>
            <w:webHidden/>
          </w:rPr>
          <w:fldChar w:fldCharType="end"/>
        </w:r>
      </w:hyperlink>
    </w:p>
    <w:p w:rsidR="00012EBF" w:rsidRPr="000802D4" w:rsidRDefault="00012EBF" w:rsidP="00012E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802D4" w:rsidRDefault="000802D4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5933040"/>
      <w:r>
        <w:rPr>
          <w:rFonts w:ascii="IRBadr" w:hAnsi="IRBadr" w:cs="IRBadr"/>
          <w:rtl/>
        </w:rPr>
        <w:br w:type="page"/>
      </w:r>
    </w:p>
    <w:p w:rsidR="003C7D59" w:rsidRPr="000802D4" w:rsidRDefault="003C7D59" w:rsidP="00753B99">
      <w:pPr>
        <w:pStyle w:val="Heading1"/>
        <w:rPr>
          <w:rFonts w:ascii="IRBadr" w:hAnsi="IRBadr" w:cs="IRBadr"/>
          <w:rtl/>
        </w:rPr>
      </w:pPr>
      <w:r w:rsidRPr="000802D4">
        <w:rPr>
          <w:rFonts w:ascii="IRBadr" w:hAnsi="IRBadr" w:cs="IRBadr"/>
          <w:rtl/>
        </w:rPr>
        <w:lastRenderedPageBreak/>
        <w:t>مناقشه در روایات مثبت حضور</w:t>
      </w:r>
      <w:bookmarkEnd w:id="0"/>
    </w:p>
    <w:p w:rsidR="003C7D59" w:rsidRPr="000802D4" w:rsidRDefault="003C7D59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در بحث سابق استدلالاتی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اثبات لزوم حضور از روایات به عمل آمد، لکن بسیاری از آنان مورد خدشه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C7D59" w:rsidRPr="000802D4" w:rsidRDefault="003C7D59" w:rsidP="00753B99">
      <w:pPr>
        <w:pStyle w:val="Heading1"/>
        <w:rPr>
          <w:rFonts w:ascii="IRBadr" w:hAnsi="IRBadr" w:cs="IRBadr"/>
          <w:rtl/>
        </w:rPr>
      </w:pPr>
      <w:bookmarkStart w:id="1" w:name="_Toc425933041"/>
      <w:r w:rsidRPr="000802D4">
        <w:rPr>
          <w:rFonts w:ascii="IRBadr" w:hAnsi="IRBadr" w:cs="IRBadr"/>
          <w:rtl/>
        </w:rPr>
        <w:t>مناقشه اول</w:t>
      </w:r>
      <w:bookmarkEnd w:id="1"/>
    </w:p>
    <w:p w:rsidR="003C7D59" w:rsidRPr="000802D4" w:rsidRDefault="003C7D59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برخی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روایات استدلال شده مربوط به سیره معصوم است و سیره تنها دلالت بر فعل دارد،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هیچ‌گونه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رجحانی درون آن. چراکه فعل دلیل لبی نیست و از اینکه بر خصوصیات دلالت کند، قاصر است.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شاید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اعلام حضرت در اینجا امر مباحی بوده باشد و ایشان مباح را انجام داده است.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فعل معصوم حداکثر دلالتش بر اباحه است،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که ت</w:t>
      </w:r>
      <w:r w:rsidR="00A06002" w:rsidRPr="000802D4">
        <w:rPr>
          <w:rFonts w:ascii="IRBadr" w:hAnsi="IRBadr" w:cs="IRBadr"/>
          <w:sz w:val="28"/>
          <w:szCs w:val="28"/>
          <w:rtl/>
          <w:lang w:bidi="fa-IR"/>
        </w:rPr>
        <w:t>ر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ک او حداکثر </w:t>
      </w:r>
      <w:r w:rsidR="00A06002" w:rsidRPr="000802D4">
        <w:rPr>
          <w:rFonts w:ascii="IRBadr" w:hAnsi="IRBadr" w:cs="IRBadr"/>
          <w:sz w:val="28"/>
          <w:szCs w:val="28"/>
          <w:rtl/>
          <w:lang w:bidi="fa-IR"/>
        </w:rPr>
        <w:t>دلالتش بر عدم وجوب است.</w:t>
      </w:r>
    </w:p>
    <w:p w:rsidR="003C7D59" w:rsidRPr="000802D4" w:rsidRDefault="00A06002" w:rsidP="00012EBF">
      <w:pPr>
        <w:pStyle w:val="Heading2"/>
        <w:rPr>
          <w:rFonts w:ascii="IRBadr" w:hAnsi="IRBadr" w:cs="IRBadr"/>
          <w:rtl/>
        </w:rPr>
      </w:pPr>
      <w:bookmarkStart w:id="2" w:name="_Toc425933042"/>
      <w:r w:rsidRPr="000802D4">
        <w:rPr>
          <w:rFonts w:ascii="IRBadr" w:hAnsi="IRBadr" w:cs="IRBadr"/>
          <w:rtl/>
        </w:rPr>
        <w:t>تطبیق بحث</w:t>
      </w:r>
      <w:bookmarkEnd w:id="2"/>
    </w:p>
    <w:p w:rsidR="00A06002" w:rsidRPr="000802D4" w:rsidRDefault="00A06002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در اینجا نیز زمانی که امام به قنبر برای اعلام امر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>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معلوم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که کار صورت گرفته، امری جایز است،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اینکه دلالت بر رجحان یا حتی وجوب داشته باشد،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منتفی است.</w:t>
      </w:r>
    </w:p>
    <w:p w:rsidR="00A06002" w:rsidRPr="000802D4" w:rsidRDefault="00A06002" w:rsidP="00012EBF">
      <w:pPr>
        <w:pStyle w:val="Heading3"/>
        <w:rPr>
          <w:rFonts w:ascii="IRBadr" w:hAnsi="IRBadr" w:cs="IRBadr"/>
          <w:rtl/>
        </w:rPr>
      </w:pPr>
      <w:bookmarkStart w:id="3" w:name="_Toc425933043"/>
      <w:r w:rsidRPr="000802D4">
        <w:rPr>
          <w:rFonts w:ascii="IRBadr" w:hAnsi="IRBadr" w:cs="IRBadr"/>
          <w:rtl/>
        </w:rPr>
        <w:t>اتخاذ مبنا</w:t>
      </w:r>
      <w:bookmarkEnd w:id="3"/>
    </w:p>
    <w:p w:rsidR="00A06002" w:rsidRPr="000802D4" w:rsidRDefault="00A06002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در خصوص استدلال به سیره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قبلاً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مطالبی بیان شد،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>؛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سیره در دلالت خود ناتوان است، ولی اموری وجود دارد که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دلالت او را از سطح اباحه خارج کند و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مرحله‌ای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ترقی دهد،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در اصول راجع به این بحث مبسوطی صورت نگرفته است.</w:t>
      </w:r>
    </w:p>
    <w:p w:rsidR="00A06002" w:rsidRPr="000802D4" w:rsidRDefault="00A06002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قرائن متعددی برای ارتقاء این دلالت ذکر شد که از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نقل سیره امام وسط خود امام بود،</w:t>
      </w:r>
      <w:r w:rsidR="009B2AA5" w:rsidRPr="000802D4">
        <w:rPr>
          <w:rFonts w:ascii="IRBadr" w:hAnsi="IRBadr" w:cs="IRBadr"/>
          <w:sz w:val="28"/>
          <w:szCs w:val="28"/>
          <w:rtl/>
          <w:lang w:bidi="fa-IR"/>
        </w:rPr>
        <w:t xml:space="preserve"> که این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="009B2AA5" w:rsidRPr="000802D4">
        <w:rPr>
          <w:rFonts w:ascii="IRBadr" w:hAnsi="IRBadr" w:cs="IRBadr"/>
          <w:sz w:val="28"/>
          <w:szCs w:val="28"/>
          <w:rtl/>
          <w:lang w:bidi="fa-IR"/>
        </w:rPr>
        <w:t xml:space="preserve"> این است در این نقل رجحانی در نزد امام بوده است.</w:t>
      </w:r>
      <w:r w:rsidR="007E731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731A">
        <w:rPr>
          <w:rFonts w:ascii="IRBadr" w:hAnsi="IRBadr" w:cs="IRBadr" w:hint="cs"/>
          <w:sz w:val="28"/>
          <w:szCs w:val="28"/>
          <w:rtl/>
          <w:lang w:bidi="fa-IR"/>
        </w:rPr>
        <w:t>ل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ذا</w:t>
      </w:r>
      <w:r w:rsidR="009B2AA5" w:rsidRPr="000802D4">
        <w:rPr>
          <w:rFonts w:ascii="IRBadr" w:hAnsi="IRBadr" w:cs="IRBadr"/>
          <w:sz w:val="28"/>
          <w:szCs w:val="28"/>
          <w:rtl/>
          <w:lang w:bidi="fa-IR"/>
        </w:rPr>
        <w:t xml:space="preserve"> حداقل امری که در اینجا ثابت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B2AA5" w:rsidRPr="000802D4">
        <w:rPr>
          <w:rFonts w:ascii="IRBadr" w:hAnsi="IRBadr" w:cs="IRBadr"/>
          <w:sz w:val="28"/>
          <w:szCs w:val="28"/>
          <w:rtl/>
          <w:lang w:bidi="fa-IR"/>
        </w:rPr>
        <w:t xml:space="preserve"> رجحان و استحباب اعلام حضور است.</w:t>
      </w:r>
    </w:p>
    <w:p w:rsidR="009B2AA5" w:rsidRPr="000802D4" w:rsidRDefault="009B2AA5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در چند روایت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Start w:id="4" w:name="_GoBack"/>
      <w:bookmarkEnd w:id="4"/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بود و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سندی مهر تأیید بر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، این سیره توسط امام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که ملاحظه شد.</w:t>
      </w:r>
    </w:p>
    <w:p w:rsidR="00A06002" w:rsidRPr="000802D4" w:rsidRDefault="009B2AA5" w:rsidP="00012EBF">
      <w:pPr>
        <w:pStyle w:val="Heading3"/>
        <w:rPr>
          <w:rFonts w:ascii="IRBadr" w:hAnsi="IRBadr" w:cs="IRBadr"/>
          <w:rtl/>
        </w:rPr>
      </w:pPr>
      <w:bookmarkStart w:id="5" w:name="_Toc425933044"/>
      <w:r w:rsidRPr="000802D4">
        <w:rPr>
          <w:rFonts w:ascii="IRBadr" w:hAnsi="IRBadr" w:cs="IRBadr"/>
          <w:rtl/>
        </w:rPr>
        <w:lastRenderedPageBreak/>
        <w:t>سیره در نزد عامه</w:t>
      </w:r>
      <w:bookmarkEnd w:id="5"/>
    </w:p>
    <w:p w:rsidR="009B2AA5" w:rsidRPr="000802D4" w:rsidRDefault="009B2AA5" w:rsidP="008C38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در میان عامه کسانی به این قائل بودند که 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>رفتار معصوم بر رجحان دلالت دارد نه بر اباحه به معنای خاص.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کسی به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آن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مبنا قائل شد،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بحثی باقی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نمی‌ماند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و الا،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اینجا قرائنی وجود دارد که دلالت بر رجحان این فعل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صادرشده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از امام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. همه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جهاتی است که نشان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اشکالات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353F7F" w:rsidRPr="000802D4">
        <w:rPr>
          <w:rFonts w:ascii="IRBadr" w:hAnsi="IRBadr" w:cs="IRBadr"/>
          <w:sz w:val="28"/>
          <w:szCs w:val="28"/>
          <w:rtl/>
          <w:lang w:bidi="fa-IR"/>
        </w:rPr>
        <w:t xml:space="preserve"> بر دلالت رجحانی در این مقام چندان وارد نیست.</w:t>
      </w:r>
    </w:p>
    <w:p w:rsidR="00A06002" w:rsidRPr="000802D4" w:rsidRDefault="00353F7F" w:rsidP="00012EBF">
      <w:pPr>
        <w:pStyle w:val="Heading4"/>
        <w:rPr>
          <w:rFonts w:ascii="IRBadr" w:hAnsi="IRBadr" w:cs="IRBadr"/>
          <w:rtl/>
        </w:rPr>
      </w:pPr>
      <w:bookmarkStart w:id="6" w:name="_Toc425933045"/>
      <w:r w:rsidRPr="000802D4">
        <w:rPr>
          <w:rFonts w:ascii="IRBadr" w:hAnsi="IRBadr" w:cs="IRBadr"/>
          <w:rtl/>
        </w:rPr>
        <w:t>اشکال بر ابهام در دلالت</w:t>
      </w:r>
      <w:bookmarkEnd w:id="6"/>
    </w:p>
    <w:p w:rsidR="008279FD" w:rsidRPr="000802D4" w:rsidRDefault="008279FD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اشکال دیگری که در اینجا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به ابهامی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که در الهی بودن حکم در این مقام وجود دارد،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مواردی که شک وجود داشته باشد سیره امام دلالت بر حکم الهی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یا حکمی حکومتی است،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شک مانع از این خواهد شد که دلالت بر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>الهی بودن حکم ثابت شود.</w:t>
      </w:r>
    </w:p>
    <w:p w:rsidR="008279FD" w:rsidRPr="000802D4" w:rsidRDefault="008C3850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8279FD" w:rsidRPr="000802D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="008279FD" w:rsidRPr="000802D4">
        <w:rPr>
          <w:rFonts w:ascii="IRBadr" w:hAnsi="IRBadr" w:cs="IRBadr"/>
          <w:sz w:val="28"/>
          <w:szCs w:val="28"/>
          <w:rtl/>
          <w:lang w:bidi="fa-IR"/>
        </w:rPr>
        <w:t xml:space="preserve"> شک موجود جایی برای قطعیت به این امر وجود ندارد که این اعلام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ذاتاً</w:t>
      </w:r>
      <w:r w:rsidR="008279FD" w:rsidRPr="000802D4">
        <w:rPr>
          <w:rFonts w:ascii="IRBadr" w:hAnsi="IRBadr" w:cs="IRBadr"/>
          <w:sz w:val="28"/>
          <w:szCs w:val="28"/>
          <w:rtl/>
          <w:lang w:bidi="fa-IR"/>
        </w:rPr>
        <w:t xml:space="preserve"> مستحب است.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8279FD" w:rsidRPr="000802D4">
        <w:rPr>
          <w:rFonts w:ascii="IRBadr" w:hAnsi="IRBadr" w:cs="IRBadr"/>
          <w:sz w:val="28"/>
          <w:szCs w:val="28"/>
          <w:rtl/>
          <w:lang w:bidi="fa-IR"/>
        </w:rPr>
        <w:t xml:space="preserve"> همین مقدار کافی است که نتوانیم استحباب را استخراج نماییم.</w:t>
      </w:r>
    </w:p>
    <w:p w:rsidR="008279FD" w:rsidRPr="000802D4" w:rsidRDefault="008279FD" w:rsidP="00012EBF">
      <w:pPr>
        <w:pStyle w:val="Heading4"/>
        <w:rPr>
          <w:rFonts w:ascii="IRBadr" w:hAnsi="IRBadr" w:cs="IRBadr"/>
          <w:rtl/>
        </w:rPr>
      </w:pPr>
      <w:bookmarkStart w:id="7" w:name="_Toc425933046"/>
      <w:r w:rsidRPr="000802D4">
        <w:rPr>
          <w:rFonts w:ascii="IRBadr" w:hAnsi="IRBadr" w:cs="IRBadr"/>
          <w:rtl/>
        </w:rPr>
        <w:t>خدشه در استدلال فوق</w:t>
      </w:r>
      <w:bookmarkEnd w:id="7"/>
    </w:p>
    <w:p w:rsidR="008279FD" w:rsidRPr="000802D4" w:rsidRDefault="008279FD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به این استدلال نیز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پاسخ‌داده‌شده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بدین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گونه که؛ برخی عقیده دارند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اصولاً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رفتار معصوم دلالت بر رجحان دارد،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این نقل در اینجا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هدایت و حکمی الهی است که در آنجا صورت گرفته است.</w:t>
      </w:r>
    </w:p>
    <w:p w:rsidR="008279FD" w:rsidRPr="000802D4" w:rsidRDefault="008279FD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به همین سبب است که وقتی در تاریخ یعقوبی یا طبری تاریخی از سیره امام نقل شود با آنچه خود معصوم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مستقیماً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نقل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>،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تفاوت‌های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اساسی در 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802D4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  <w:r w:rsidR="00753B99" w:rsidRPr="000802D4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6D650D" w:rsidRPr="000802D4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6D650D" w:rsidRPr="000802D4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="008C3850" w:rsidRPr="000802D4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="006D650D" w:rsidRPr="000802D4">
        <w:rPr>
          <w:rFonts w:ascii="IRBadr" w:hAnsi="IRBadr" w:cs="IRBadr"/>
          <w:sz w:val="28"/>
          <w:szCs w:val="28"/>
          <w:rtl/>
          <w:lang w:bidi="fa-IR"/>
        </w:rPr>
        <w:t xml:space="preserve"> بیان حکم الهی هستند.</w:t>
      </w:r>
    </w:p>
    <w:p w:rsidR="00353F7F" w:rsidRPr="000802D4" w:rsidRDefault="00353F7F" w:rsidP="00753B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0802D4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0802D4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95" w:rsidRDefault="00FF6C95" w:rsidP="000D5800">
      <w:pPr>
        <w:spacing w:after="0" w:line="240" w:lineRule="auto"/>
      </w:pPr>
      <w:r>
        <w:separator/>
      </w:r>
    </w:p>
  </w:endnote>
  <w:endnote w:type="continuationSeparator" w:id="0">
    <w:p w:rsidR="00FF6C95" w:rsidRDefault="00FF6C9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95" w:rsidRDefault="00FF6C95" w:rsidP="000D5800">
      <w:pPr>
        <w:spacing w:after="0" w:line="240" w:lineRule="auto"/>
      </w:pPr>
      <w:r>
        <w:separator/>
      </w:r>
    </w:p>
  </w:footnote>
  <w:footnote w:type="continuationSeparator" w:id="0">
    <w:p w:rsidR="00FF6C95" w:rsidRDefault="00FF6C95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E956D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137F8A" wp14:editId="2E10AA6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45A2C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  <w:lang w:bidi="fa-IR"/>
      </w:rPr>
      <w:drawing>
        <wp:inline distT="0" distB="0" distL="0" distR="0" wp14:anchorId="5064E52A" wp14:editId="49B8504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753B99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956D7">
      <w:rPr>
        <w:rFonts w:ascii="IranNastaliq" w:hAnsi="IranNastaliq" w:cs="IranNastaliq" w:hint="cs"/>
        <w:sz w:val="40"/>
        <w:szCs w:val="40"/>
        <w:rtl/>
      </w:rPr>
      <w:t>777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99" w:rsidRDefault="00753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D7"/>
    <w:rsid w:val="00012EBF"/>
    <w:rsid w:val="000228A2"/>
    <w:rsid w:val="000324F1"/>
    <w:rsid w:val="00041FE0"/>
    <w:rsid w:val="00052BA3"/>
    <w:rsid w:val="0006363E"/>
    <w:rsid w:val="000802D4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4B13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53F7F"/>
    <w:rsid w:val="00366400"/>
    <w:rsid w:val="003963D7"/>
    <w:rsid w:val="00396F28"/>
    <w:rsid w:val="003A1A05"/>
    <w:rsid w:val="003A2654"/>
    <w:rsid w:val="003C06BF"/>
    <w:rsid w:val="003C7899"/>
    <w:rsid w:val="003C7D5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D650D"/>
    <w:rsid w:val="006F01B4"/>
    <w:rsid w:val="00705D59"/>
    <w:rsid w:val="00734D59"/>
    <w:rsid w:val="0073609B"/>
    <w:rsid w:val="00752745"/>
    <w:rsid w:val="00753B99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31A"/>
    <w:rsid w:val="007E7FA7"/>
    <w:rsid w:val="007F0721"/>
    <w:rsid w:val="007F4A90"/>
    <w:rsid w:val="00803501"/>
    <w:rsid w:val="0080799B"/>
    <w:rsid w:val="00807BE3"/>
    <w:rsid w:val="00811F02"/>
    <w:rsid w:val="008279FD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3850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2AA5"/>
    <w:rsid w:val="009B46BC"/>
    <w:rsid w:val="009B61C3"/>
    <w:rsid w:val="009C7B4F"/>
    <w:rsid w:val="009F4EB3"/>
    <w:rsid w:val="00A06002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907"/>
    <w:rsid w:val="00B63F15"/>
    <w:rsid w:val="00BB5F7E"/>
    <w:rsid w:val="00BC26F6"/>
    <w:rsid w:val="00BC3B4A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42A8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56D7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0E49"/>
    <w:rsid w:val="00FC0862"/>
    <w:rsid w:val="00FC70FB"/>
    <w:rsid w:val="00FD143D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956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956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8BE6-6AD1-4018-8274-ED008076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1798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8</cp:revision>
  <dcterms:created xsi:type="dcterms:W3CDTF">2014-12-20T10:05:00Z</dcterms:created>
  <dcterms:modified xsi:type="dcterms:W3CDTF">2015-08-15T05:05:00Z</dcterms:modified>
</cp:coreProperties>
</file>