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5C" w:rsidRPr="00AF05F5" w:rsidRDefault="0048621A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AF05F5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C83A5C"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C83A5C" w:rsidRPr="00AF05F5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</w:p>
    <w:p w:rsidR="006468AB" w:rsidRPr="00AF05F5" w:rsidRDefault="006468AB" w:rsidP="006468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6468AB" w:rsidRPr="00AF05F5" w:rsidRDefault="006468AB" w:rsidP="006468A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AF05F5">
        <w:rPr>
          <w:rFonts w:ascii="IRBadr" w:hAnsi="IRBadr" w:cs="IRBadr"/>
          <w:sz w:val="28"/>
          <w:rtl/>
        </w:rPr>
        <w:fldChar w:fldCharType="begin"/>
      </w:r>
      <w:r w:rsidRPr="00AF05F5">
        <w:rPr>
          <w:rFonts w:ascii="IRBadr" w:hAnsi="IRBadr" w:cs="IRBadr"/>
          <w:sz w:val="28"/>
          <w:rtl/>
        </w:rPr>
        <w:instrText xml:space="preserve"> </w:instrText>
      </w:r>
      <w:r w:rsidRPr="00AF05F5">
        <w:rPr>
          <w:rFonts w:ascii="IRBadr" w:hAnsi="IRBadr" w:cs="IRBadr"/>
          <w:sz w:val="28"/>
        </w:rPr>
        <w:instrText>TOC</w:instrText>
      </w:r>
      <w:r w:rsidRPr="00AF05F5">
        <w:rPr>
          <w:rFonts w:ascii="IRBadr" w:hAnsi="IRBadr" w:cs="IRBadr"/>
          <w:sz w:val="28"/>
          <w:rtl/>
        </w:rPr>
        <w:instrText xml:space="preserve"> \</w:instrText>
      </w:r>
      <w:r w:rsidRPr="00AF05F5">
        <w:rPr>
          <w:rFonts w:ascii="IRBadr" w:hAnsi="IRBadr" w:cs="IRBadr"/>
          <w:sz w:val="28"/>
        </w:rPr>
        <w:instrText>o "</w:instrText>
      </w:r>
      <w:r w:rsidRPr="00AF05F5">
        <w:rPr>
          <w:rFonts w:ascii="IRBadr" w:hAnsi="IRBadr" w:cs="IRBadr"/>
          <w:sz w:val="28"/>
          <w:rtl/>
        </w:rPr>
        <w:instrText>1-4</w:instrText>
      </w:r>
      <w:r w:rsidRPr="00AF05F5">
        <w:rPr>
          <w:rFonts w:ascii="IRBadr" w:hAnsi="IRBadr" w:cs="IRBadr"/>
          <w:sz w:val="28"/>
        </w:rPr>
        <w:instrText>" \h \z \u</w:instrText>
      </w:r>
      <w:r w:rsidRPr="00AF05F5">
        <w:rPr>
          <w:rFonts w:ascii="IRBadr" w:hAnsi="IRBadr" w:cs="IRBadr"/>
          <w:sz w:val="28"/>
          <w:rtl/>
        </w:rPr>
        <w:instrText xml:space="preserve"> </w:instrText>
      </w:r>
      <w:r w:rsidRPr="00AF05F5">
        <w:rPr>
          <w:rFonts w:ascii="IRBadr" w:hAnsi="IRBadr" w:cs="IRBadr"/>
          <w:sz w:val="28"/>
          <w:rtl/>
        </w:rPr>
        <w:fldChar w:fldCharType="separate"/>
      </w:r>
      <w:hyperlink w:anchor="_Toc425933188" w:history="1">
        <w:r w:rsidRPr="00AF05F5">
          <w:rPr>
            <w:rStyle w:val="Hyperlink"/>
            <w:rFonts w:ascii="IRBadr" w:hAnsi="IRBadr" w:cs="IRBadr"/>
            <w:noProof/>
            <w:rtl/>
          </w:rPr>
          <w:t>ابعاد سنگ‌ها در رجم</w:t>
        </w:r>
        <w:r w:rsidRPr="00AF05F5">
          <w:rPr>
            <w:rFonts w:ascii="IRBadr" w:hAnsi="IRBadr" w:cs="IRBadr"/>
            <w:noProof/>
            <w:webHidden/>
          </w:rPr>
          <w:tab/>
        </w:r>
        <w:r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AF05F5">
          <w:rPr>
            <w:rFonts w:ascii="IRBadr" w:hAnsi="IRBadr" w:cs="IRBadr"/>
            <w:noProof/>
            <w:webHidden/>
          </w:rPr>
          <w:instrText xml:space="preserve"> PAGEREF _Toc425933188 \h </w:instrText>
        </w:r>
        <w:r w:rsidRPr="00AF05F5">
          <w:rPr>
            <w:rStyle w:val="Hyperlink"/>
            <w:rFonts w:ascii="IRBadr" w:hAnsi="IRBadr" w:cs="IRBadr"/>
            <w:noProof/>
            <w:rtl/>
          </w:rPr>
        </w:r>
        <w:r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AF05F5">
          <w:rPr>
            <w:rFonts w:ascii="IRBadr" w:hAnsi="IRBadr" w:cs="IRBadr"/>
            <w:noProof/>
            <w:webHidden/>
          </w:rPr>
          <w:t>1</w:t>
        </w:r>
        <w:r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189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اقتضای قواعد اولیه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_Toc425933189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2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190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اقتضای قواعد ثانویه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_Toc425933190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2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191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روایت اول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_Toc425933191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2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192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بررسی سندی روایت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_Toc425933192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3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193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روایت دوم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_Toc425933193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3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194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مراد از صغار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_Toc425933194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3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195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سایر خصوصیات سنگ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_Toc425933195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4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196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نتیجه گیری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_Toc425933196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4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197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شرکت مستحق حد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_Toc425933197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4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198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نظریه اول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_Toc425933198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4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199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نظریه دوم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_Toc425933199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5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200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نظریه سوم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_Toc425933200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5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201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آراء فقها در این مقام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_Toc425933201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5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202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_Toc425933202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5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203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روایات در این باب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_Toc425933203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5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204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روایت اول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_Toc425933204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5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205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روایت دوم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_Toc425933205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6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206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روایت سوم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_Toc425933206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6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250FC4" w:rsidP="006468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207" w:history="1">
        <w:r w:rsidR="006468AB" w:rsidRPr="00AF05F5">
          <w:rPr>
            <w:rStyle w:val="Hyperlink"/>
            <w:rFonts w:ascii="IRBadr" w:hAnsi="IRBadr" w:cs="IRBadr"/>
            <w:noProof/>
            <w:rtl/>
          </w:rPr>
          <w:t>جمع بندی</w:t>
        </w:r>
        <w:r w:rsidR="006468AB" w:rsidRPr="00AF05F5">
          <w:rPr>
            <w:rFonts w:ascii="IRBadr" w:hAnsi="IRBadr" w:cs="IRBadr"/>
            <w:noProof/>
            <w:webHidden/>
          </w:rPr>
          <w:tab/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68AB" w:rsidRPr="00AF05F5">
          <w:rPr>
            <w:rFonts w:ascii="IRBadr" w:hAnsi="IRBadr" w:cs="IRBadr"/>
            <w:noProof/>
            <w:webHidden/>
          </w:rPr>
          <w:instrText xml:space="preserve"> PAGEREF _Toc425933207 \h </w:instrText>
        </w:r>
        <w:r w:rsidR="006468AB" w:rsidRPr="00AF05F5">
          <w:rPr>
            <w:rStyle w:val="Hyperlink"/>
            <w:rFonts w:ascii="IRBadr" w:hAnsi="IRBadr" w:cs="IRBadr"/>
            <w:noProof/>
            <w:rtl/>
          </w:rPr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68AB" w:rsidRPr="00AF05F5">
          <w:rPr>
            <w:rFonts w:ascii="IRBadr" w:hAnsi="IRBadr" w:cs="IRBadr"/>
            <w:noProof/>
            <w:webHidden/>
          </w:rPr>
          <w:t>6</w:t>
        </w:r>
        <w:r w:rsidR="006468AB" w:rsidRPr="00AF05F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68AB" w:rsidRPr="00AF05F5" w:rsidRDefault="006468AB" w:rsidP="006468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AF05F5" w:rsidRDefault="00AF05F5">
      <w:pPr>
        <w:spacing w:after="0" w:line="240" w:lineRule="auto"/>
        <w:rPr>
          <w:rFonts w:ascii="IRBadr" w:eastAsia="2  Lotus" w:hAnsi="IRBadr" w:cs="IRBadr"/>
          <w:bCs/>
          <w:sz w:val="44"/>
          <w:szCs w:val="44"/>
          <w:rtl/>
          <w:lang w:bidi="fa-IR"/>
        </w:rPr>
      </w:pPr>
      <w:bookmarkStart w:id="1" w:name="_Toc425933188"/>
      <w:r>
        <w:rPr>
          <w:rFonts w:ascii="IRBadr" w:hAnsi="IRBadr" w:cs="IRBadr"/>
          <w:rtl/>
        </w:rPr>
        <w:br w:type="page"/>
      </w:r>
    </w:p>
    <w:p w:rsidR="00E8204C" w:rsidRPr="00AF05F5" w:rsidRDefault="00E8204C" w:rsidP="009C085E">
      <w:pPr>
        <w:pStyle w:val="Heading1"/>
        <w:rPr>
          <w:rFonts w:ascii="IRBadr" w:hAnsi="IRBadr" w:cs="IRBadr"/>
          <w:rtl/>
        </w:rPr>
      </w:pPr>
      <w:r w:rsidRPr="00AF05F5">
        <w:rPr>
          <w:rFonts w:ascii="IRBadr" w:hAnsi="IRBadr" w:cs="IRBadr"/>
          <w:rtl/>
        </w:rPr>
        <w:lastRenderedPageBreak/>
        <w:t xml:space="preserve">ابعاد </w:t>
      </w:r>
      <w:r w:rsidR="00092AFA" w:rsidRPr="00AF05F5">
        <w:rPr>
          <w:rFonts w:ascii="IRBadr" w:hAnsi="IRBadr" w:cs="IRBadr"/>
          <w:rtl/>
        </w:rPr>
        <w:t>سنگ‌ها</w:t>
      </w:r>
      <w:r w:rsidRPr="00AF05F5">
        <w:rPr>
          <w:rFonts w:ascii="IRBadr" w:hAnsi="IRBadr" w:cs="IRBadr"/>
          <w:rtl/>
        </w:rPr>
        <w:t xml:space="preserve"> در رجم</w:t>
      </w:r>
      <w:bookmarkEnd w:id="1"/>
    </w:p>
    <w:p w:rsidR="00E8204C" w:rsidRPr="00AF05F5" w:rsidRDefault="00E8204C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در کلمات فقها از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سنگ‌هایی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که در رجم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مورداستفاده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قرار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9E3B75" w:rsidRPr="00AF05F5">
        <w:rPr>
          <w:rFonts w:ascii="IRBadr" w:hAnsi="IRBadr" w:cs="IRBadr"/>
          <w:sz w:val="28"/>
          <w:szCs w:val="28"/>
          <w:rtl/>
          <w:lang w:bidi="fa-IR"/>
        </w:rPr>
        <w:t xml:space="preserve"> تعبیر به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سنگ‌های</w:t>
      </w:r>
      <w:r w:rsidR="009E3B75"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کوچک‌شده</w:t>
      </w:r>
      <w:r w:rsidR="009E3B75" w:rsidRPr="00AF05F5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لذا اینکه رجم بخواهد با صخره یا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سنگ‌های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بزرگ صورت بگیرد،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نفی‌شده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است. منتها تعابیر در این زمینه متفاوت است،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برخی موارد تعبیر به وجوب دیده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>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مواردی نیز تعبیر به ینبغی وجود دارد که ظهور آن در استحباب است.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امام نیز در ابتدا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می‌فرمایند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ینبغی و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پس‌ازآن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>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تعبیر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به احوط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>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حکم نزد ایشان احتیاط مستحب است.</w:t>
      </w:r>
    </w:p>
    <w:p w:rsidR="00E8204C" w:rsidRPr="00AF05F5" w:rsidRDefault="00E8204C" w:rsidP="009C085E">
      <w:pPr>
        <w:pStyle w:val="Heading1"/>
        <w:rPr>
          <w:rFonts w:ascii="IRBadr" w:hAnsi="IRBadr" w:cs="IRBadr"/>
          <w:rtl/>
        </w:rPr>
      </w:pPr>
      <w:bookmarkStart w:id="2" w:name="_Toc425933189"/>
      <w:r w:rsidRPr="00AF05F5">
        <w:rPr>
          <w:rFonts w:ascii="IRBadr" w:hAnsi="IRBadr" w:cs="IRBadr"/>
          <w:rtl/>
        </w:rPr>
        <w:t>اقتضای قواعد</w:t>
      </w:r>
      <w:r w:rsidR="00005661" w:rsidRPr="00AF05F5">
        <w:rPr>
          <w:rFonts w:ascii="IRBadr" w:hAnsi="IRBadr" w:cs="IRBadr"/>
          <w:rtl/>
        </w:rPr>
        <w:t xml:space="preserve"> اولیه</w:t>
      </w:r>
      <w:bookmarkEnd w:id="2"/>
    </w:p>
    <w:p w:rsidR="00E8204C" w:rsidRPr="00AF05F5" w:rsidRDefault="00E8204C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در اینجا طبق روال سابق باید دید اقتضای قواعد در این زمینه چیست؟</w:t>
      </w:r>
    </w:p>
    <w:p w:rsidR="00E8204C" w:rsidRPr="00AF05F5" w:rsidRDefault="0048621A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E8204C" w:rsidRPr="00AF05F5">
        <w:rPr>
          <w:rFonts w:ascii="IRBadr" w:hAnsi="IRBadr" w:cs="IRBadr"/>
          <w:sz w:val="28"/>
          <w:szCs w:val="28"/>
          <w:rtl/>
          <w:lang w:bidi="fa-IR"/>
        </w:rPr>
        <w:t xml:space="preserve"> از تعبیر رجم در این زمینه استفاده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8204C" w:rsidRPr="00AF05F5">
        <w:rPr>
          <w:rFonts w:ascii="IRBadr" w:hAnsi="IRBadr" w:cs="IRBadr"/>
          <w:sz w:val="28"/>
          <w:szCs w:val="28"/>
          <w:rtl/>
          <w:lang w:bidi="fa-IR"/>
        </w:rPr>
        <w:t>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E8204C" w:rsidRPr="00AF05F5">
        <w:rPr>
          <w:rFonts w:ascii="IRBadr" w:hAnsi="IRBadr" w:cs="IRBadr"/>
          <w:sz w:val="28"/>
          <w:szCs w:val="28"/>
          <w:rtl/>
          <w:lang w:bidi="fa-IR"/>
        </w:rPr>
        <w:t xml:space="preserve"> است که مراد تحقق سنگسار است،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E8204C" w:rsidRPr="00AF05F5">
        <w:rPr>
          <w:rFonts w:ascii="IRBadr" w:hAnsi="IRBadr" w:cs="IRBadr"/>
          <w:sz w:val="28"/>
          <w:szCs w:val="28"/>
          <w:rtl/>
          <w:lang w:bidi="fa-IR"/>
        </w:rPr>
        <w:t xml:space="preserve"> روایات تعبیر به حجر 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E8204C" w:rsidRPr="00AF05F5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طبیعتاً</w:t>
      </w:r>
      <w:r w:rsidR="00E8204C" w:rsidRPr="00AF05F5">
        <w:rPr>
          <w:rFonts w:ascii="IRBadr" w:hAnsi="IRBadr" w:cs="IRBadr"/>
          <w:sz w:val="28"/>
          <w:szCs w:val="28"/>
          <w:rtl/>
          <w:lang w:bidi="fa-IR"/>
        </w:rPr>
        <w:t xml:space="preserve"> مشخص است زمانی که تعبیر به حجر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8204C" w:rsidRPr="00AF05F5">
        <w:rPr>
          <w:rFonts w:ascii="IRBadr" w:hAnsi="IRBadr" w:cs="IRBadr"/>
          <w:sz w:val="28"/>
          <w:szCs w:val="28"/>
          <w:rtl/>
          <w:lang w:bidi="fa-IR"/>
        </w:rPr>
        <w:t>؛ شن،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ماسه</w:t>
      </w:r>
      <w:r w:rsidR="00E8204C" w:rsidRPr="00AF05F5">
        <w:rPr>
          <w:rFonts w:ascii="IRBadr" w:hAnsi="IRBadr" w:cs="IRBadr"/>
          <w:sz w:val="28"/>
          <w:szCs w:val="28"/>
          <w:rtl/>
          <w:lang w:bidi="fa-IR"/>
        </w:rPr>
        <w:t xml:space="preserve"> و خاک تخصصا خارج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8204C" w:rsidRPr="00AF05F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05661" w:rsidRPr="00AF05F5" w:rsidRDefault="00005661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اما در اینکه مراد از حجر سنگ بزرگ است یا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سنگ‌ریزه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را در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برمی‌گیرد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>؟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می‌توان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گفت؛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توجه به پرتاب کردنی که در این زمینه در روایات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بعید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نیست بتوان گفت؛ احجار از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سنگ‌های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بزرگ انصراف دارد.</w:t>
      </w:r>
    </w:p>
    <w:p w:rsidR="00005661" w:rsidRPr="00AF05F5" w:rsidRDefault="00005661" w:rsidP="009C085E">
      <w:pPr>
        <w:pStyle w:val="Heading1"/>
        <w:rPr>
          <w:rFonts w:ascii="IRBadr" w:hAnsi="IRBadr" w:cs="IRBadr"/>
          <w:rtl/>
        </w:rPr>
      </w:pPr>
      <w:bookmarkStart w:id="3" w:name="_Toc425933190"/>
      <w:r w:rsidRPr="00AF05F5">
        <w:rPr>
          <w:rFonts w:ascii="IRBadr" w:hAnsi="IRBadr" w:cs="IRBadr"/>
          <w:rtl/>
        </w:rPr>
        <w:t>اقتضای قواعد ثانویه</w:t>
      </w:r>
      <w:bookmarkEnd w:id="3"/>
    </w:p>
    <w:p w:rsidR="00005661" w:rsidRPr="00AF05F5" w:rsidRDefault="00005661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پس از مقام اول،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ملاحظه کرد که مقتضی روایات در این مقام چیست؟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این زمینه دو روایت وجود دارد.</w:t>
      </w:r>
    </w:p>
    <w:p w:rsidR="00005661" w:rsidRPr="00AF05F5" w:rsidRDefault="00005661" w:rsidP="009C085E">
      <w:pPr>
        <w:pStyle w:val="Heading1"/>
        <w:rPr>
          <w:rFonts w:ascii="IRBadr" w:hAnsi="IRBadr" w:cs="IRBadr"/>
          <w:color w:val="000000"/>
          <w:rtl/>
        </w:rPr>
      </w:pPr>
      <w:bookmarkStart w:id="4" w:name="_Toc425933191"/>
      <w:r w:rsidRPr="00AF05F5">
        <w:rPr>
          <w:rFonts w:ascii="IRBadr" w:hAnsi="IRBadr" w:cs="IRBadr"/>
          <w:rtl/>
        </w:rPr>
        <w:t>روایت</w:t>
      </w:r>
      <w:r w:rsidR="009E3B75" w:rsidRPr="00AF05F5">
        <w:rPr>
          <w:rFonts w:ascii="IRBadr" w:hAnsi="IRBadr" w:cs="IRBadr"/>
          <w:color w:val="3232FA"/>
          <w:rtl/>
        </w:rPr>
        <w:t xml:space="preserve"> </w:t>
      </w:r>
      <w:r w:rsidRPr="00AF05F5">
        <w:rPr>
          <w:rFonts w:ascii="IRBadr" w:hAnsi="IRBadr" w:cs="IRBadr"/>
          <w:rtl/>
        </w:rPr>
        <w:t>اول</w:t>
      </w:r>
      <w:bookmarkEnd w:id="4"/>
    </w:p>
    <w:p w:rsidR="00005661" w:rsidRPr="00AF05F5" w:rsidRDefault="00005661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روایت اول در جلد هیجده از ابواب حد زنا،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باب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چهارده،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صفحه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سیصد و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هفتادوچهار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9E3B75" w:rsidRPr="00AF05F5" w:rsidRDefault="009E3B75" w:rsidP="00092AFA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مُحَمَّدِ بْنِ عِ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عُبَ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دٍ عَنْ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ونُسَ عَنْ إِسْحَاقَ بْنِ عَمَّارٍ عَنْ أَبِ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بَصِ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قَالَ قَالَ أَبُو عَبْدِ اللَّهِ ع تُدْفَنُ الْمَرْأَةُ إِلَ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وسط‌ها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إِذَا أَرَادُوا أَنْ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رْجُمُوهَا وَ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رْمِ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الْإِمَامُ ثُمَّ النَّاسُ بَعْدُ بِأَحْجَارٍ صِغَارٍ.»</w:t>
      </w:r>
      <w:r w:rsidRPr="00AF05F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005661" w:rsidRPr="00AF05F5" w:rsidRDefault="00005661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lastRenderedPageBreak/>
        <w:t>در ابتدا امام شروع به رجم نموده،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بعد نوبت به مردم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که با این احجار صغار او را مورد هدف قرار دهند.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وقتی اطلاق به حجر وارد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>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سنگ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و ماسه و ...را بیرون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>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قید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F0EF1">
        <w:rPr>
          <w:rFonts w:ascii="IRBadr" w:hAnsi="IRBadr" w:cs="IRBadr"/>
          <w:sz w:val="28"/>
          <w:szCs w:val="28"/>
          <w:rtl/>
          <w:lang w:bidi="fa-IR"/>
        </w:rPr>
        <w:t>صغار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نیز در اینجا مخرج نوعی دیگر از احجار است که شامل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سنگ‌های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سخت و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تخته‌سنگ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05661" w:rsidRPr="00AF05F5" w:rsidRDefault="00005661" w:rsidP="009C085E">
      <w:pPr>
        <w:pStyle w:val="Heading1"/>
        <w:rPr>
          <w:rFonts w:ascii="IRBadr" w:hAnsi="IRBadr" w:cs="IRBadr"/>
          <w:rtl/>
        </w:rPr>
      </w:pPr>
      <w:bookmarkStart w:id="5" w:name="_Toc425933192"/>
      <w:r w:rsidRPr="00AF05F5">
        <w:rPr>
          <w:rFonts w:ascii="IRBadr" w:hAnsi="IRBadr" w:cs="IRBadr"/>
          <w:rtl/>
        </w:rPr>
        <w:t>بررسی سندی روایت</w:t>
      </w:r>
      <w:bookmarkEnd w:id="5"/>
    </w:p>
    <w:p w:rsidR="00005661" w:rsidRPr="00AF05F5" w:rsidRDefault="00005661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این روایت از ضعف خالی نیست،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همین روایت سند دیگری دارد که خالی از ضعف است.</w:t>
      </w:r>
      <w:r w:rsidR="006F77BF" w:rsidRPr="00AF05F5">
        <w:rPr>
          <w:rFonts w:ascii="IRBadr" w:hAnsi="IRBadr" w:cs="IRBadr"/>
          <w:sz w:val="28"/>
          <w:szCs w:val="28"/>
          <w:rtl/>
          <w:lang w:bidi="fa-IR"/>
        </w:rPr>
        <w:t xml:space="preserve"> سند دیگری نیز در کافی برای این روایت وجود دارد که؛</w:t>
      </w:r>
    </w:p>
    <w:p w:rsidR="006F77BF" w:rsidRPr="00AF05F5" w:rsidRDefault="009E3B75" w:rsidP="00092AFA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C83A5C" w:rsidRPr="00AF05F5">
        <w:rPr>
          <w:rFonts w:ascii="IRBadr" w:hAnsi="IRBadr" w:cs="IRBadr"/>
          <w:b/>
          <w:bCs/>
          <w:sz w:val="28"/>
          <w:szCs w:val="28"/>
          <w:rtl/>
          <w:lang w:bidi="fa-IR"/>
        </w:rPr>
        <w:t>عن عده من اصحابنا عن احمد بن محمد بن خالد عن عثمان بن عیسی عن سماعه بن مهران عن ابی عبد الله</w:t>
      </w:r>
      <w:r w:rsidRPr="00AF05F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</w:p>
    <w:p w:rsidR="006F77BF" w:rsidRPr="00AF05F5" w:rsidRDefault="006F77BF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که این سند معتبر است.</w:t>
      </w:r>
    </w:p>
    <w:p w:rsidR="006F77BF" w:rsidRPr="00AF05F5" w:rsidRDefault="006F77BF" w:rsidP="009C085E">
      <w:pPr>
        <w:pStyle w:val="Heading1"/>
        <w:rPr>
          <w:rFonts w:ascii="IRBadr" w:hAnsi="IRBadr" w:cs="IRBadr"/>
          <w:color w:val="000000"/>
          <w:rtl/>
        </w:rPr>
      </w:pPr>
      <w:bookmarkStart w:id="6" w:name="_Toc425933193"/>
      <w:r w:rsidRPr="00AF05F5">
        <w:rPr>
          <w:rFonts w:ascii="IRBadr" w:hAnsi="IRBadr" w:cs="IRBadr"/>
          <w:rtl/>
        </w:rPr>
        <w:t>روایت دوم</w:t>
      </w:r>
      <w:bookmarkEnd w:id="6"/>
    </w:p>
    <w:p w:rsidR="00E2205F" w:rsidRPr="00AF05F5" w:rsidRDefault="00E2205F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روایت دیگری که در این باب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بدین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ترتیب است که؛</w:t>
      </w:r>
    </w:p>
    <w:p w:rsidR="009E3B75" w:rsidRPr="00AF05F5" w:rsidRDefault="009E3B75" w:rsidP="00092AFA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مُحَمَّدِ بْنِ عِ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ونُسَ عَنْ سَمَاعَةَ عَنْ أَبِ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تُدْفَنُ الْمَرْأَةُ إِلَ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وسط‌ها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ثُمَّ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رْمِ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الْإِمَامُ وَ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رْمِ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النَّاسُ بِأَحْجَارٍ صِغَارٍ وَ لَا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دْفَنُ الرَّجُلُ إِذَا رُجِمَ إِلَّا إِلَ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حَقْوَ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هِ.» </w:t>
      </w:r>
      <w:r w:rsidRPr="00AF05F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E2205F" w:rsidRPr="00AF05F5" w:rsidRDefault="00A1693E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این دو روایت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ظاهراً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یکی باشد،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امام یکی است و </w:t>
      </w:r>
      <w:r w:rsidR="008A134F" w:rsidRPr="00AF05F5">
        <w:rPr>
          <w:rFonts w:ascii="IRBadr" w:hAnsi="IRBadr" w:cs="IRBadr"/>
          <w:sz w:val="28"/>
          <w:szCs w:val="28"/>
          <w:rtl/>
          <w:lang w:bidi="fa-IR"/>
        </w:rPr>
        <w:t xml:space="preserve">هم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متن‌ها</w:t>
      </w:r>
      <w:r w:rsidR="008A134F" w:rsidRPr="00AF05F5">
        <w:rPr>
          <w:rFonts w:ascii="IRBadr" w:hAnsi="IRBadr" w:cs="IRBadr"/>
          <w:sz w:val="28"/>
          <w:szCs w:val="28"/>
          <w:rtl/>
          <w:lang w:bidi="fa-IR"/>
        </w:rPr>
        <w:t xml:space="preserve"> به یکدیگر نزدیک است.</w:t>
      </w:r>
    </w:p>
    <w:p w:rsidR="00E2205F" w:rsidRPr="00AF05F5" w:rsidRDefault="008A134F" w:rsidP="009C085E">
      <w:pPr>
        <w:pStyle w:val="Heading1"/>
        <w:rPr>
          <w:rFonts w:ascii="IRBadr" w:hAnsi="IRBadr" w:cs="IRBadr"/>
          <w:rtl/>
        </w:rPr>
      </w:pPr>
      <w:bookmarkStart w:id="7" w:name="_Toc425933194"/>
      <w:r w:rsidRPr="00AF05F5">
        <w:rPr>
          <w:rFonts w:ascii="IRBadr" w:hAnsi="IRBadr" w:cs="IRBadr"/>
          <w:rtl/>
        </w:rPr>
        <w:t>مراد از صغار</w:t>
      </w:r>
      <w:bookmarkEnd w:id="7"/>
    </w:p>
    <w:p w:rsidR="008A134F" w:rsidRPr="00AF05F5" w:rsidRDefault="008A134F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در معنی صغار احتمالاتی وجود دارد که منظور از آن صغر نسبی بوده یا مطلق است؟</w:t>
      </w:r>
    </w:p>
    <w:p w:rsidR="00E2205F" w:rsidRPr="00AF05F5" w:rsidRDefault="008A134F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یک احتمال این است که مراد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سنگ‌ریزه‌های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ریز باشد و در مقابل آن این احتمال وجود دارد که منظور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سنگ‌های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بزرگ‌تری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باشد که در مقابل سنگ بزرگ و سخت قرار دارد. این،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احتمالی است که در اینجا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است و تشخیص صحت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کدام‌یک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امری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تقریباً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دشوار است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حقیقتاً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احجار صغار مطلق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موردنظر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است یا مراد از صغار در مقابل کبار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A134F" w:rsidRPr="00AF05F5" w:rsidRDefault="008A134F" w:rsidP="009C085E">
      <w:pPr>
        <w:pStyle w:val="Heading1"/>
        <w:rPr>
          <w:rFonts w:ascii="IRBadr" w:hAnsi="IRBadr" w:cs="IRBadr"/>
          <w:rtl/>
        </w:rPr>
      </w:pPr>
      <w:bookmarkStart w:id="8" w:name="_Toc425933195"/>
      <w:r w:rsidRPr="00AF05F5">
        <w:rPr>
          <w:rFonts w:ascii="IRBadr" w:hAnsi="IRBadr" w:cs="IRBadr"/>
          <w:rtl/>
        </w:rPr>
        <w:t>سایر خصوصیات سنگ</w:t>
      </w:r>
      <w:bookmarkEnd w:id="8"/>
    </w:p>
    <w:p w:rsidR="008A134F" w:rsidRPr="00AF05F5" w:rsidRDefault="008A134F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اینکه این احجار به چه شکلی باشد؛ بیضوی یا مکعب،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مربع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شکل،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زاویه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داشته و یا نداشته باشد؛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قیود در روایات ملحوظ نشده و در قبال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سکوت کرده است.</w:t>
      </w:r>
    </w:p>
    <w:p w:rsidR="008A134F" w:rsidRPr="00AF05F5" w:rsidRDefault="008A134F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آنچه مسلم است،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بوده که این احجار نباید چندان تیز شده باشد.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شکلی خارج از حالت متعارف نداشته باشد.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EB68C0" w:rsidRPr="00AF05F5">
        <w:rPr>
          <w:rFonts w:ascii="IRBadr" w:hAnsi="IRBadr" w:cs="IRBadr"/>
          <w:sz w:val="28"/>
          <w:szCs w:val="28"/>
          <w:rtl/>
          <w:lang w:bidi="fa-IR"/>
        </w:rPr>
        <w:t xml:space="preserve"> روایت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EB68C0"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="00EB68C0" w:rsidRPr="00AF05F5">
        <w:rPr>
          <w:rFonts w:ascii="IRBadr" w:hAnsi="IRBadr" w:cs="IRBadr"/>
          <w:sz w:val="28"/>
          <w:szCs w:val="28"/>
          <w:rtl/>
          <w:lang w:bidi="fa-IR"/>
        </w:rPr>
        <w:t xml:space="preserve"> را یافت که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دقیقاً</w:t>
      </w:r>
      <w:r w:rsidR="00EB68C0"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کدام‌یک</w:t>
      </w:r>
      <w:r w:rsidR="00EB68C0" w:rsidRPr="00AF05F5">
        <w:rPr>
          <w:rFonts w:ascii="IRBadr" w:hAnsi="IRBadr" w:cs="IRBadr"/>
          <w:sz w:val="28"/>
          <w:szCs w:val="28"/>
          <w:rtl/>
          <w:lang w:bidi="fa-IR"/>
        </w:rPr>
        <w:t xml:space="preserve"> مورد لحاظ بوده است.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EB68C0" w:rsidRPr="00AF05F5">
        <w:rPr>
          <w:rFonts w:ascii="IRBadr" w:hAnsi="IRBadr" w:cs="IRBadr"/>
          <w:sz w:val="28"/>
          <w:szCs w:val="28"/>
          <w:rtl/>
          <w:lang w:bidi="fa-IR"/>
        </w:rPr>
        <w:t xml:space="preserve"> در اینجا مسلم بوده این است که ماسه،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شبه</w:t>
      </w:r>
      <w:r w:rsidR="00EB68C0" w:rsidRPr="00AF05F5">
        <w:rPr>
          <w:rFonts w:ascii="IRBadr" w:hAnsi="IRBadr" w:cs="IRBadr"/>
          <w:sz w:val="28"/>
          <w:szCs w:val="28"/>
          <w:rtl/>
          <w:lang w:bidi="fa-IR"/>
        </w:rPr>
        <w:t xml:space="preserve"> صخره و موارد دیگر خارج خواهد بود.</w:t>
      </w:r>
    </w:p>
    <w:p w:rsidR="00EB68C0" w:rsidRPr="00AF05F5" w:rsidRDefault="00EB68C0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البته در برخی روایات بود که وقتی حضرت چند سنگ را پرتاب کردند،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فرد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جان خود را از دست داد،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این روایت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استفاده کرد که صغار مطلق در اینجا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موردنظر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EB68C0" w:rsidRPr="00AF05F5" w:rsidRDefault="0048621A" w:rsidP="009C085E">
      <w:pPr>
        <w:pStyle w:val="Heading1"/>
        <w:rPr>
          <w:rFonts w:ascii="IRBadr" w:hAnsi="IRBadr" w:cs="IRBadr"/>
          <w:rtl/>
        </w:rPr>
      </w:pPr>
      <w:r w:rsidRPr="00AF05F5">
        <w:rPr>
          <w:rFonts w:ascii="IRBadr" w:hAnsi="IRBadr" w:cs="IRBadr"/>
          <w:rtl/>
        </w:rPr>
        <w:t>نتیجه‌گیری</w:t>
      </w:r>
    </w:p>
    <w:p w:rsidR="00EB68C0" w:rsidRPr="00AF05F5" w:rsidRDefault="0048621A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EB68C0" w:rsidRPr="00AF05F5">
        <w:rPr>
          <w:rFonts w:ascii="IRBadr" w:hAnsi="IRBadr" w:cs="IRBadr"/>
          <w:sz w:val="28"/>
          <w:szCs w:val="28"/>
          <w:rtl/>
          <w:lang w:bidi="fa-IR"/>
        </w:rPr>
        <w:t xml:space="preserve"> تاکنون از روایات 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>به دست</w:t>
      </w:r>
      <w:r w:rsidR="001F0EF1">
        <w:rPr>
          <w:rFonts w:ascii="IRBadr" w:hAnsi="IRBadr" w:cs="IRBadr"/>
          <w:sz w:val="28"/>
          <w:szCs w:val="28"/>
          <w:rtl/>
          <w:lang w:bidi="fa-IR"/>
        </w:rPr>
        <w:t xml:space="preserve"> آمد، تنافی</w:t>
      </w:r>
      <w:r w:rsidR="001F0EF1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EB68C0" w:rsidRPr="00AF05F5">
        <w:rPr>
          <w:rFonts w:ascii="IRBadr" w:hAnsi="IRBadr" w:cs="IRBadr"/>
          <w:sz w:val="28"/>
          <w:szCs w:val="28"/>
          <w:rtl/>
          <w:lang w:bidi="fa-IR"/>
        </w:rPr>
        <w:t>ای با قواعد اولیه ندارد،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EB68C0" w:rsidRPr="00AF05F5">
        <w:rPr>
          <w:rFonts w:ascii="IRBadr" w:hAnsi="IRBadr" w:cs="IRBadr"/>
          <w:sz w:val="28"/>
          <w:szCs w:val="28"/>
          <w:rtl/>
          <w:lang w:bidi="fa-IR"/>
        </w:rPr>
        <w:t xml:space="preserve"> جهتی باید گفت که پرتاب صخره و شبه آن اشکال دارد.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رمی</w:t>
      </w:r>
      <w:r w:rsidR="00EB68C0" w:rsidRPr="00AF05F5">
        <w:rPr>
          <w:rFonts w:ascii="IRBadr" w:hAnsi="IRBadr" w:cs="IRBadr"/>
          <w:sz w:val="28"/>
          <w:szCs w:val="28"/>
          <w:rtl/>
          <w:lang w:bidi="fa-IR"/>
        </w:rPr>
        <w:t xml:space="preserve"> با شن،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ماسه</w:t>
      </w:r>
      <w:r w:rsidR="00EB68C0" w:rsidRPr="00AF05F5">
        <w:rPr>
          <w:rFonts w:ascii="IRBadr" w:hAnsi="IRBadr" w:cs="IRBadr"/>
          <w:sz w:val="28"/>
          <w:szCs w:val="28"/>
          <w:rtl/>
          <w:lang w:bidi="fa-IR"/>
        </w:rPr>
        <w:t xml:space="preserve"> و ...محل اشکال است و رمی به احجار کوچک نیز عرفا 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="00EB68C0" w:rsidRPr="00AF05F5">
        <w:rPr>
          <w:rFonts w:ascii="IRBadr" w:hAnsi="IRBadr" w:cs="IRBadr"/>
          <w:sz w:val="28"/>
          <w:szCs w:val="28"/>
          <w:rtl/>
          <w:lang w:bidi="fa-IR"/>
        </w:rPr>
        <w:t xml:space="preserve"> نخواهد بود.</w:t>
      </w:r>
    </w:p>
    <w:p w:rsidR="00EB68C0" w:rsidRPr="00AF05F5" w:rsidRDefault="00092AFA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سنگ‌هایی</w:t>
      </w:r>
      <w:r w:rsidR="00A129EB" w:rsidRPr="00AF05F5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="00A129EB" w:rsidRPr="00AF05F5">
        <w:rPr>
          <w:rFonts w:ascii="IRBadr" w:hAnsi="IRBadr" w:cs="IRBadr"/>
          <w:sz w:val="28"/>
          <w:szCs w:val="28"/>
          <w:rtl/>
          <w:lang w:bidi="fa-IR"/>
        </w:rPr>
        <w:t xml:space="preserve"> مصنوعی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ساخته‌شده</w:t>
      </w:r>
      <w:r w:rsidR="00A129EB" w:rsidRPr="00AF05F5">
        <w:rPr>
          <w:rFonts w:ascii="IRBadr" w:hAnsi="IRBadr" w:cs="IRBadr"/>
          <w:sz w:val="28"/>
          <w:szCs w:val="28"/>
          <w:rtl/>
          <w:lang w:bidi="fa-IR"/>
        </w:rPr>
        <w:t xml:space="preserve"> است و فرد را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به‌سرعت</w:t>
      </w:r>
      <w:r w:rsidR="00A129EB"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>می‌کشد</w:t>
      </w:r>
      <w:r w:rsidR="00A129EB" w:rsidRPr="00AF05F5">
        <w:rPr>
          <w:rFonts w:ascii="IRBadr" w:hAnsi="IRBadr" w:cs="IRBadr"/>
          <w:sz w:val="28"/>
          <w:szCs w:val="28"/>
          <w:rtl/>
          <w:lang w:bidi="fa-IR"/>
        </w:rPr>
        <w:t xml:space="preserve"> نیز،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A129EB"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="00A129EB" w:rsidRPr="00AF05F5">
        <w:rPr>
          <w:rFonts w:ascii="IRBadr" w:hAnsi="IRBadr" w:cs="IRBadr"/>
          <w:sz w:val="28"/>
          <w:szCs w:val="28"/>
          <w:rtl/>
          <w:lang w:bidi="fa-IR"/>
        </w:rPr>
        <w:t xml:space="preserve"> خارج است. اما اینکه سنگ چه ابعاد و شکلی باید داشته باشد،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بیان‌نشده</w:t>
      </w:r>
      <w:r w:rsidR="00A129EB" w:rsidRPr="00AF05F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A129EB"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F0EF1">
        <w:rPr>
          <w:rFonts w:ascii="IRBadr" w:hAnsi="IRBadr" w:cs="IRBadr"/>
          <w:sz w:val="28"/>
          <w:szCs w:val="28"/>
          <w:rtl/>
          <w:lang w:bidi="fa-IR"/>
        </w:rPr>
        <w:t>مواردی</w:t>
      </w:r>
      <w:r w:rsidR="00A129EB" w:rsidRPr="00AF05F5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A129EB" w:rsidRPr="00AF05F5">
        <w:rPr>
          <w:rFonts w:ascii="IRBadr" w:hAnsi="IRBadr" w:cs="IRBadr"/>
          <w:sz w:val="28"/>
          <w:szCs w:val="28"/>
          <w:rtl/>
          <w:lang w:bidi="fa-IR"/>
        </w:rPr>
        <w:t xml:space="preserve"> یا از مفهوم حجر خارج است و یا دلیل از 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A129EB" w:rsidRPr="00AF05F5">
        <w:rPr>
          <w:rFonts w:ascii="IRBadr" w:hAnsi="IRBadr" w:cs="IRBadr"/>
          <w:sz w:val="28"/>
          <w:szCs w:val="28"/>
          <w:rtl/>
          <w:lang w:bidi="fa-IR"/>
        </w:rPr>
        <w:t xml:space="preserve"> انصراف دارد.</w:t>
      </w:r>
    </w:p>
    <w:p w:rsidR="00EB68C0" w:rsidRPr="00AF05F5" w:rsidRDefault="00A129EB" w:rsidP="00092AFA">
      <w:pPr>
        <w:pStyle w:val="Heading2"/>
        <w:rPr>
          <w:rFonts w:ascii="IRBadr" w:hAnsi="IRBadr" w:cs="IRBadr"/>
          <w:sz w:val="28"/>
          <w:szCs w:val="28"/>
          <w:rtl/>
        </w:rPr>
      </w:pPr>
      <w:bookmarkStart w:id="9" w:name="_Toc425933197"/>
      <w:r w:rsidRPr="00AF05F5">
        <w:rPr>
          <w:rFonts w:ascii="IRBadr" w:hAnsi="IRBadr" w:cs="IRBadr"/>
          <w:sz w:val="28"/>
          <w:szCs w:val="28"/>
          <w:rtl/>
        </w:rPr>
        <w:t>شرکت مستحق حد</w:t>
      </w:r>
      <w:bookmarkEnd w:id="9"/>
    </w:p>
    <w:p w:rsidR="00A129EB" w:rsidRPr="00AF05F5" w:rsidRDefault="00A129EB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سؤالی که در اینجا وجود دارد،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کسی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که خود او مستحق یکی از حدود است،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می‌تواند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در حد شرکت داشته باشد؟ در اینجا سه نظریه وجود دارد.</w:t>
      </w:r>
    </w:p>
    <w:p w:rsidR="00A129EB" w:rsidRPr="00AF05F5" w:rsidRDefault="00A129EB" w:rsidP="00092AFA">
      <w:pPr>
        <w:pStyle w:val="Heading2"/>
        <w:rPr>
          <w:rFonts w:ascii="IRBadr" w:hAnsi="IRBadr" w:cs="IRBadr"/>
          <w:sz w:val="28"/>
          <w:szCs w:val="28"/>
          <w:rtl/>
        </w:rPr>
      </w:pPr>
      <w:bookmarkStart w:id="10" w:name="_Toc425933198"/>
      <w:r w:rsidRPr="00AF05F5">
        <w:rPr>
          <w:rFonts w:ascii="IRBadr" w:hAnsi="IRBadr" w:cs="IRBadr"/>
          <w:sz w:val="28"/>
          <w:szCs w:val="28"/>
          <w:rtl/>
        </w:rPr>
        <w:lastRenderedPageBreak/>
        <w:t>نظریه اول</w:t>
      </w:r>
      <w:bookmarkEnd w:id="10"/>
    </w:p>
    <w:p w:rsidR="00A129EB" w:rsidRPr="00AF05F5" w:rsidRDefault="00A129EB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برخی قائل به این هستند که کسانی که خود مشمول حد هستند،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حرام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است و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نمی‌توانند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در اجرای حد شرکت داشته باشند،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صاحب جواهر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>: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قائل به حرمت را پیدا نکردیم. ولی بعد از ایشان افرادی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بوده‌اند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که قائل به حرمت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>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صاحب ریاض و برخی از معاصرین.</w:t>
      </w:r>
    </w:p>
    <w:p w:rsidR="00EB68C0" w:rsidRPr="00AF05F5" w:rsidRDefault="00A129EB" w:rsidP="00092AFA">
      <w:pPr>
        <w:pStyle w:val="Heading2"/>
        <w:rPr>
          <w:rFonts w:ascii="IRBadr" w:hAnsi="IRBadr" w:cs="IRBadr"/>
          <w:sz w:val="28"/>
          <w:szCs w:val="28"/>
          <w:rtl/>
        </w:rPr>
      </w:pPr>
      <w:bookmarkStart w:id="11" w:name="_Toc425933199"/>
      <w:r w:rsidRPr="00AF05F5">
        <w:rPr>
          <w:rFonts w:ascii="IRBadr" w:hAnsi="IRBadr" w:cs="IRBadr"/>
          <w:sz w:val="28"/>
          <w:szCs w:val="28"/>
          <w:rtl/>
        </w:rPr>
        <w:t>نظریه دوم</w:t>
      </w:r>
      <w:bookmarkEnd w:id="11"/>
    </w:p>
    <w:p w:rsidR="00A129EB" w:rsidRPr="00AF05F5" w:rsidRDefault="00A129EB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در این قول،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قائل به کراهت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129EB" w:rsidRPr="00AF05F5" w:rsidRDefault="00A129EB" w:rsidP="00092AFA">
      <w:pPr>
        <w:pStyle w:val="Heading2"/>
        <w:rPr>
          <w:rFonts w:ascii="IRBadr" w:hAnsi="IRBadr" w:cs="IRBadr"/>
          <w:sz w:val="28"/>
          <w:szCs w:val="28"/>
          <w:rtl/>
        </w:rPr>
      </w:pPr>
      <w:bookmarkStart w:id="12" w:name="_Toc425933200"/>
      <w:r w:rsidRPr="00AF05F5">
        <w:rPr>
          <w:rFonts w:ascii="IRBadr" w:hAnsi="IRBadr" w:cs="IRBadr"/>
          <w:sz w:val="28"/>
          <w:szCs w:val="28"/>
          <w:rtl/>
        </w:rPr>
        <w:t>نظریه سوم</w:t>
      </w:r>
      <w:bookmarkEnd w:id="12"/>
    </w:p>
    <w:p w:rsidR="00A129EB" w:rsidRPr="00AF05F5" w:rsidRDefault="00A129EB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و در قول سوم،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تفصیلی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است بین مواردی که مواردی که با اقرار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ثابت‌شده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باشد،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در آنجا </w:t>
      </w:r>
      <w:r w:rsidR="0036478E" w:rsidRPr="00AF05F5">
        <w:rPr>
          <w:rFonts w:ascii="IRBadr" w:hAnsi="IRBadr" w:cs="IRBadr"/>
          <w:sz w:val="28"/>
          <w:szCs w:val="28"/>
          <w:rtl/>
          <w:lang w:bidi="fa-IR"/>
        </w:rPr>
        <w:t xml:space="preserve">ممکن نیست و در مواردی که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بابینه</w:t>
      </w:r>
      <w:r w:rsidR="0036478E"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ثابت‌شده</w:t>
      </w:r>
      <w:r w:rsidR="0036478E" w:rsidRPr="00AF05F5">
        <w:rPr>
          <w:rFonts w:ascii="IRBadr" w:hAnsi="IRBadr" w:cs="IRBadr"/>
          <w:sz w:val="28"/>
          <w:szCs w:val="28"/>
          <w:rtl/>
          <w:lang w:bidi="fa-IR"/>
        </w:rPr>
        <w:t xml:space="preserve"> باشد، اشکالی ندارد.</w:t>
      </w:r>
    </w:p>
    <w:p w:rsidR="0036478E" w:rsidRPr="00AF05F5" w:rsidRDefault="0036478E" w:rsidP="00092AFA">
      <w:pPr>
        <w:pStyle w:val="Heading2"/>
        <w:rPr>
          <w:rFonts w:ascii="IRBadr" w:hAnsi="IRBadr" w:cs="IRBadr"/>
          <w:sz w:val="28"/>
          <w:szCs w:val="28"/>
          <w:rtl/>
        </w:rPr>
      </w:pPr>
      <w:bookmarkStart w:id="13" w:name="_Toc425933201"/>
      <w:r w:rsidRPr="00AF05F5">
        <w:rPr>
          <w:rFonts w:ascii="IRBadr" w:hAnsi="IRBadr" w:cs="IRBadr"/>
          <w:sz w:val="28"/>
          <w:szCs w:val="28"/>
          <w:rtl/>
        </w:rPr>
        <w:t>آراء فقها در این مقام</w:t>
      </w:r>
      <w:bookmarkEnd w:id="13"/>
    </w:p>
    <w:p w:rsidR="0036478E" w:rsidRPr="00AF05F5" w:rsidRDefault="0036478E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ظاهر کلام حضرت امام،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کراهت در این بخش بوده،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کراهتی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که قدما هم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معمولاً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بدان قائل بودند.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در میان متأخرین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عده‌ای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مانند صاحب ریاض قائل به حرمت شده بودند.</w:t>
      </w:r>
    </w:p>
    <w:p w:rsidR="0036478E" w:rsidRPr="00AF05F5" w:rsidRDefault="0036478E" w:rsidP="00092AFA">
      <w:pPr>
        <w:pStyle w:val="Heading2"/>
        <w:rPr>
          <w:rFonts w:ascii="IRBadr" w:hAnsi="IRBadr" w:cs="IRBadr"/>
          <w:sz w:val="28"/>
          <w:szCs w:val="28"/>
          <w:rtl/>
        </w:rPr>
      </w:pPr>
      <w:bookmarkStart w:id="14" w:name="_Toc425933202"/>
      <w:r w:rsidRPr="00AF05F5">
        <w:rPr>
          <w:rFonts w:ascii="IRBadr" w:hAnsi="IRBadr" w:cs="IRBadr"/>
          <w:sz w:val="28"/>
          <w:szCs w:val="28"/>
          <w:rtl/>
        </w:rPr>
        <w:t>اتخاذ مبنا</w:t>
      </w:r>
      <w:bookmarkEnd w:id="14"/>
    </w:p>
    <w:p w:rsidR="0036478E" w:rsidRPr="00AF05F5" w:rsidRDefault="0036478E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در اینجا اگر طبق قواعد بخواهیم عمل کنیم،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پاسخ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این است که اشکالی وجود ندارد که مجریان حدود خود مستحق حدی بوده باشند.</w:t>
      </w:r>
    </w:p>
    <w:p w:rsidR="0036478E" w:rsidRPr="00AF05F5" w:rsidRDefault="0036478E" w:rsidP="00092AFA">
      <w:pPr>
        <w:pStyle w:val="Heading2"/>
        <w:rPr>
          <w:rFonts w:ascii="IRBadr" w:hAnsi="IRBadr" w:cs="IRBadr"/>
          <w:sz w:val="28"/>
          <w:szCs w:val="28"/>
          <w:rtl/>
        </w:rPr>
      </w:pPr>
      <w:bookmarkStart w:id="15" w:name="_Toc425933203"/>
      <w:r w:rsidRPr="00AF05F5">
        <w:rPr>
          <w:rFonts w:ascii="IRBadr" w:hAnsi="IRBadr" w:cs="IRBadr"/>
          <w:sz w:val="28"/>
          <w:szCs w:val="28"/>
          <w:rtl/>
        </w:rPr>
        <w:t>روایات در این باب</w:t>
      </w:r>
      <w:bookmarkEnd w:id="15"/>
    </w:p>
    <w:p w:rsidR="0036478E" w:rsidRPr="00AF05F5" w:rsidRDefault="0036478E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باید دید در مرحله دوم فرمایش روایات به چه صورتی است؟</w:t>
      </w:r>
    </w:p>
    <w:p w:rsidR="0036478E" w:rsidRPr="00AF05F5" w:rsidRDefault="0036478E" w:rsidP="00092AFA">
      <w:pPr>
        <w:pStyle w:val="Heading2"/>
        <w:rPr>
          <w:rFonts w:ascii="IRBadr" w:hAnsi="IRBadr" w:cs="IRBadr"/>
          <w:sz w:val="28"/>
          <w:szCs w:val="28"/>
          <w:rtl/>
        </w:rPr>
      </w:pPr>
      <w:bookmarkStart w:id="16" w:name="_Toc425933204"/>
      <w:r w:rsidRPr="00AF05F5">
        <w:rPr>
          <w:rFonts w:ascii="IRBadr" w:hAnsi="IRBadr" w:cs="IRBadr"/>
          <w:sz w:val="28"/>
          <w:szCs w:val="28"/>
          <w:rtl/>
        </w:rPr>
        <w:t>روایت اول</w:t>
      </w:r>
      <w:bookmarkEnd w:id="16"/>
    </w:p>
    <w:p w:rsidR="0036478E" w:rsidRPr="00AF05F5" w:rsidRDefault="0036478E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روایت اول در باب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سی‌ویک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است و سندش جای اشکال دارد، هرچند برخی از اسناداتش صحیح است،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می‌فرماید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>:</w:t>
      </w:r>
    </w:p>
    <w:p w:rsidR="00D60F51" w:rsidRPr="00AF05F5" w:rsidRDefault="00D60F51" w:rsidP="00092AFA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«ثُمَّ نَادَ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بِأَعْلَ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صَوْتِهِ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أَ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هَا النَّاسُ إِنَّ اللَّهَ تَعَالَ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عَهِدَ إِلَ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رَسُولِهِ ص عَهْداً عَهِدَهُ مُحَمَّدٌ ص إِلَ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بِأَنَّهُ لَا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مُ الْحَدَّ مَنْ لِلَّهِ عَلَ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حَدٌّ فَمَنْ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لِلَّهِ عَلَ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حَدٌّ مِثْلُ مَا لَهُ عَلَ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هَا فَلَا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مُ عَلَ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هَا الْحَدَّ قَالَ فَانْصَرَفَ النَّاسُ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وْمَئِذٍ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لُّهُمْ مَا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خلأ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أَمِ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رَ الْمُؤْمِنِ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وَ الْحَسَنَ وَ الْحُسَ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ع فَأَقَامَ هَؤُلَاءِ الثَّلَاثَةُ عَلَ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هَا الْحَدَّ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وْمَئِذٍ وَ مَا مَعَهُمْ غَ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رُهُمْ قَالَ وَ انْصَرَفَ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وْمَئِذٍ فِ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مَا انْصَرَفَ مُحَمَّدُ بْنُ أَمِ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 الْمُؤْمِنِ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نَ.»</w:t>
      </w:r>
      <w:r w:rsidRPr="00AF05F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36478E" w:rsidRPr="00AF05F5" w:rsidRDefault="0036478E" w:rsidP="00092AFA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AF05F5">
        <w:rPr>
          <w:rFonts w:ascii="IRBadr" w:hAnsi="IRBadr" w:cs="IRBadr"/>
          <w:sz w:val="28"/>
          <w:szCs w:val="28"/>
          <w:rtl/>
        </w:rPr>
        <w:t xml:space="preserve">امام در این روایت </w:t>
      </w:r>
      <w:r w:rsidR="00092AFA" w:rsidRPr="00AF05F5">
        <w:rPr>
          <w:rFonts w:ascii="IRBadr" w:hAnsi="IRBadr" w:cs="IRBadr"/>
          <w:sz w:val="28"/>
          <w:szCs w:val="28"/>
          <w:rtl/>
        </w:rPr>
        <w:t>می‌فرماید</w:t>
      </w:r>
      <w:r w:rsidRPr="00AF05F5">
        <w:rPr>
          <w:rFonts w:ascii="IRBadr" w:hAnsi="IRBadr" w:cs="IRBadr"/>
          <w:sz w:val="28"/>
          <w:szCs w:val="28"/>
          <w:rtl/>
        </w:rPr>
        <w:t xml:space="preserve"> من با پیغمبر اکرم (ص) عهد بستم؛</w:t>
      </w:r>
      <w:r w:rsidR="00092AFA" w:rsidRPr="00AF05F5">
        <w:rPr>
          <w:rFonts w:ascii="IRBadr" w:hAnsi="IRBadr" w:cs="IRBadr"/>
          <w:sz w:val="28"/>
          <w:szCs w:val="28"/>
          <w:rtl/>
        </w:rPr>
        <w:t xml:space="preserve"> کسی</w:t>
      </w:r>
      <w:r w:rsidRPr="00AF05F5">
        <w:rPr>
          <w:rFonts w:ascii="IRBadr" w:hAnsi="IRBadr" w:cs="IRBadr"/>
          <w:sz w:val="28"/>
          <w:szCs w:val="28"/>
          <w:rtl/>
        </w:rPr>
        <w:t xml:space="preserve"> که حدی بر گردن اوست و هنوز ثابت </w:t>
      </w:r>
      <w:r w:rsidR="00D60F51" w:rsidRPr="00AF05F5">
        <w:rPr>
          <w:rFonts w:ascii="IRBadr" w:hAnsi="IRBadr" w:cs="IRBadr"/>
          <w:sz w:val="28"/>
          <w:szCs w:val="28"/>
          <w:rtl/>
        </w:rPr>
        <w:t>ن</w:t>
      </w:r>
      <w:r w:rsidRPr="00AF05F5">
        <w:rPr>
          <w:rFonts w:ascii="IRBadr" w:hAnsi="IRBadr" w:cs="IRBadr"/>
          <w:sz w:val="28"/>
          <w:szCs w:val="28"/>
          <w:rtl/>
        </w:rPr>
        <w:t>شده،</w:t>
      </w:r>
      <w:r w:rsidR="00092AFA" w:rsidRPr="00AF05F5">
        <w:rPr>
          <w:rFonts w:ascii="IRBadr" w:hAnsi="IRBadr" w:cs="IRBadr"/>
          <w:sz w:val="28"/>
          <w:szCs w:val="28"/>
          <w:rtl/>
        </w:rPr>
        <w:t xml:space="preserve"> حد</w:t>
      </w:r>
      <w:r w:rsidRPr="00AF05F5">
        <w:rPr>
          <w:rFonts w:ascii="IRBadr" w:hAnsi="IRBadr" w:cs="IRBadr"/>
          <w:sz w:val="28"/>
          <w:szCs w:val="28"/>
          <w:rtl/>
        </w:rPr>
        <w:t xml:space="preserve"> را اجرا </w:t>
      </w:r>
      <w:r w:rsidR="00092AFA" w:rsidRPr="00AF05F5">
        <w:rPr>
          <w:rFonts w:ascii="IRBadr" w:hAnsi="IRBadr" w:cs="IRBadr"/>
          <w:sz w:val="28"/>
          <w:szCs w:val="28"/>
          <w:rtl/>
        </w:rPr>
        <w:t>نمی‌کند</w:t>
      </w:r>
      <w:r w:rsidRPr="00AF05F5">
        <w:rPr>
          <w:rFonts w:ascii="IRBadr" w:hAnsi="IRBadr" w:cs="IRBadr"/>
          <w:sz w:val="28"/>
          <w:szCs w:val="28"/>
          <w:rtl/>
        </w:rPr>
        <w:t>.</w:t>
      </w:r>
    </w:p>
    <w:p w:rsidR="0036478E" w:rsidRPr="00AF05F5" w:rsidRDefault="0036478E" w:rsidP="00092AFA">
      <w:pPr>
        <w:pStyle w:val="Heading2"/>
        <w:rPr>
          <w:rFonts w:ascii="IRBadr" w:hAnsi="IRBadr" w:cs="IRBadr"/>
          <w:sz w:val="28"/>
          <w:szCs w:val="28"/>
          <w:rtl/>
        </w:rPr>
      </w:pPr>
      <w:bookmarkStart w:id="17" w:name="_Toc425933205"/>
      <w:r w:rsidRPr="00AF05F5">
        <w:rPr>
          <w:rFonts w:ascii="IRBadr" w:hAnsi="IRBadr" w:cs="IRBadr"/>
          <w:sz w:val="28"/>
          <w:szCs w:val="28"/>
          <w:rtl/>
        </w:rPr>
        <w:t>روایت دوم</w:t>
      </w:r>
      <w:bookmarkEnd w:id="17"/>
    </w:p>
    <w:p w:rsidR="0036478E" w:rsidRPr="00AF05F5" w:rsidRDefault="0036478E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در روایت دوم تعبیر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</w:p>
    <w:p w:rsidR="00D60F51" w:rsidRPr="00AF05F5" w:rsidRDefault="00D60F51" w:rsidP="00092AFA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«مَنْ فَعَلَ مِثْلَ فِعْلِهِ فَلَا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رْجُمْهُ وَلْ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نْصَرِفْ»</w:t>
      </w:r>
      <w:r w:rsidRPr="00AF05F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</w:p>
    <w:p w:rsidR="008662CE" w:rsidRPr="00AF05F5" w:rsidRDefault="008662CE" w:rsidP="00092AFA">
      <w:pPr>
        <w:pStyle w:val="Heading2"/>
        <w:rPr>
          <w:rFonts w:ascii="IRBadr" w:hAnsi="IRBadr" w:cs="IRBadr"/>
          <w:color w:val="000000"/>
          <w:sz w:val="28"/>
          <w:szCs w:val="28"/>
          <w:rtl/>
        </w:rPr>
      </w:pPr>
      <w:bookmarkStart w:id="18" w:name="_Toc425933206"/>
      <w:r w:rsidRPr="00AF05F5">
        <w:rPr>
          <w:rFonts w:ascii="IRBadr" w:hAnsi="IRBadr" w:cs="IRBadr"/>
          <w:sz w:val="28"/>
          <w:szCs w:val="28"/>
          <w:rtl/>
        </w:rPr>
        <w:t>روایت سوم</w:t>
      </w:r>
      <w:bookmarkEnd w:id="18"/>
    </w:p>
    <w:p w:rsidR="008662CE" w:rsidRPr="00AF05F5" w:rsidRDefault="008662CE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در این روایت که سندی معتبر و سندی غیر معتبر دارد،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تعبیر شده است؛</w:t>
      </w:r>
    </w:p>
    <w:p w:rsidR="00D60F51" w:rsidRPr="00AF05F5" w:rsidRDefault="00D60F51" w:rsidP="00092AFA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F05F5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فَقَالَ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مَعَاشِرَ الْمُسْلِمِ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إِنَّ هَذَا حَقٌّ مِنْ حُقُوقِ اللَّهِ عَزَّ وَ جَلَّ فَمَنْ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لِلَّهِ فِ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عُنُقِهِ حَقٌّ فَلْ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نْصَرِفْ وَ لَا 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مُ حُدُودَ اللَّهِ مَنْ فِ</w:t>
      </w:r>
      <w:r w:rsidR="00092AFA"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عُنُقِهِ لِلَّهِ حَدٌّ فَانْصَرَفَ النَّاسُ»</w:t>
      </w:r>
      <w:r w:rsidRPr="00AF05F5">
        <w:rPr>
          <w:rFonts w:ascii="IRBadr" w:hAnsi="IRBadr" w:cs="IRBadr"/>
          <w:b/>
          <w:bCs/>
          <w:color w:val="000000" w:themeColor="text1"/>
          <w:sz w:val="28"/>
          <w:szCs w:val="28"/>
        </w:rPr>
        <w:t>‌</w:t>
      </w:r>
      <w:r w:rsidRPr="00AF05F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</w:p>
    <w:p w:rsidR="008662CE" w:rsidRPr="00AF05F5" w:rsidRDefault="008662CE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>این روایت، مشابه بند اول از روایت اول است.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D60F51" w:rsidRPr="00AF05F5">
        <w:rPr>
          <w:rFonts w:ascii="IRBadr" w:hAnsi="IRBadr" w:cs="IRBadr"/>
          <w:sz w:val="28"/>
          <w:szCs w:val="28"/>
          <w:rtl/>
          <w:lang w:bidi="fa-IR"/>
        </w:rPr>
        <w:t xml:space="preserve"> روایات دیگری که در این باب وجود دارد و برخی معتبر و برخی نامعتبر هستند.</w:t>
      </w:r>
    </w:p>
    <w:p w:rsidR="008662CE" w:rsidRPr="00AF05F5" w:rsidRDefault="0048621A" w:rsidP="00092AFA">
      <w:pPr>
        <w:pStyle w:val="Heading2"/>
        <w:rPr>
          <w:rFonts w:ascii="IRBadr" w:hAnsi="IRBadr" w:cs="IRBadr"/>
          <w:sz w:val="28"/>
          <w:szCs w:val="28"/>
          <w:rtl/>
        </w:rPr>
      </w:pPr>
      <w:r w:rsidRPr="00AF05F5">
        <w:rPr>
          <w:rFonts w:ascii="IRBadr" w:hAnsi="IRBadr" w:cs="IRBadr"/>
          <w:sz w:val="28"/>
          <w:szCs w:val="28"/>
          <w:rtl/>
        </w:rPr>
        <w:t>جمع‌بندی</w:t>
      </w:r>
    </w:p>
    <w:p w:rsidR="00C83A5C" w:rsidRPr="00AF05F5" w:rsidRDefault="008662CE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کسی که 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مجری حد در باب رجم باشد،</w:t>
      </w:r>
      <w:r w:rsidR="00092AFA" w:rsidRPr="00AF05F5">
        <w:rPr>
          <w:rFonts w:ascii="IRBadr" w:hAnsi="IRBadr" w:cs="IRBadr"/>
          <w:sz w:val="28"/>
          <w:szCs w:val="28"/>
          <w:rtl/>
          <w:lang w:bidi="fa-IR"/>
        </w:rPr>
        <w:t xml:space="preserve"> نباید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حدی از </w:t>
      </w:r>
      <w:r w:rsidR="0048621A" w:rsidRPr="00AF05F5">
        <w:rPr>
          <w:rFonts w:ascii="IRBadr" w:hAnsi="IRBadr" w:cs="IRBadr"/>
          <w:sz w:val="28"/>
          <w:szCs w:val="28"/>
          <w:rtl/>
          <w:lang w:bidi="fa-IR"/>
        </w:rPr>
        <w:t>حدودالله</w:t>
      </w:r>
      <w:r w:rsidRPr="00AF05F5">
        <w:rPr>
          <w:rFonts w:ascii="IRBadr" w:hAnsi="IRBadr" w:cs="IRBadr"/>
          <w:sz w:val="28"/>
          <w:szCs w:val="28"/>
          <w:rtl/>
          <w:lang w:bidi="fa-IR"/>
        </w:rPr>
        <w:t xml:space="preserve"> بر ذمه او باشد.</w:t>
      </w:r>
    </w:p>
    <w:p w:rsidR="00152670" w:rsidRPr="00AF05F5" w:rsidRDefault="00152670" w:rsidP="00092AF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152670" w:rsidRPr="00AF05F5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C4" w:rsidRDefault="00250FC4" w:rsidP="000D5800">
      <w:pPr>
        <w:spacing w:after="0" w:line="240" w:lineRule="auto"/>
      </w:pPr>
      <w:r>
        <w:separator/>
      </w:r>
    </w:p>
  </w:endnote>
  <w:endnote w:type="continuationSeparator" w:id="0">
    <w:p w:rsidR="00250FC4" w:rsidRDefault="00250FC4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C4" w:rsidRDefault="00250FC4" w:rsidP="006468AB">
      <w:pPr>
        <w:bidi/>
        <w:spacing w:after="0" w:line="240" w:lineRule="auto"/>
      </w:pPr>
      <w:r>
        <w:separator/>
      </w:r>
    </w:p>
  </w:footnote>
  <w:footnote w:type="continuationSeparator" w:id="0">
    <w:p w:rsidR="00250FC4" w:rsidRDefault="00250FC4" w:rsidP="000D5800">
      <w:pPr>
        <w:spacing w:after="0" w:line="240" w:lineRule="auto"/>
      </w:pPr>
      <w:r>
        <w:continuationSeparator/>
      </w:r>
    </w:p>
  </w:footnote>
  <w:footnote w:id="1">
    <w:p w:rsidR="009E3B75" w:rsidRDefault="009E3B7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E3B75">
        <w:rPr>
          <w:rFonts w:ascii="Noor_Titr" w:hAnsi="Noor_Titr" w:cs="B Badr" w:hint="cs"/>
          <w:color w:val="000000" w:themeColor="text1"/>
          <w:rtl/>
        </w:rPr>
        <w:t>ال</w:t>
      </w:r>
      <w:r w:rsidR="00092AFA">
        <w:rPr>
          <w:rFonts w:ascii="Noor_Titr" w:hAnsi="Noor_Titr" w:cs="B Badr" w:hint="cs"/>
          <w:color w:val="000000" w:themeColor="text1"/>
          <w:rtl/>
        </w:rPr>
        <w:t>ک</w:t>
      </w:r>
      <w:r w:rsidRPr="009E3B75">
        <w:rPr>
          <w:rFonts w:ascii="Noor_Titr" w:hAnsi="Noor_Titr" w:cs="B Badr" w:hint="cs"/>
          <w:color w:val="000000" w:themeColor="text1"/>
          <w:rtl/>
        </w:rPr>
        <w:t>اف</w:t>
      </w:r>
      <w:r w:rsidR="00092AFA">
        <w:rPr>
          <w:rFonts w:ascii="Noor_Titr" w:hAnsi="Noor_Titr" w:cs="B Badr" w:hint="cs"/>
          <w:color w:val="000000" w:themeColor="text1"/>
          <w:rtl/>
        </w:rPr>
        <w:t>ی</w:t>
      </w:r>
      <w:r w:rsidRPr="009E3B75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092AFA">
        <w:rPr>
          <w:rFonts w:ascii="Noor_Titr" w:hAnsi="Noor_Titr" w:cs="B Badr" w:hint="cs"/>
          <w:color w:val="000000" w:themeColor="text1"/>
          <w:rtl/>
        </w:rPr>
        <w:t>ی</w:t>
      </w:r>
      <w:r w:rsidRPr="009E3B75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092AFA">
        <w:rPr>
          <w:rFonts w:ascii="Noor_Titr" w:hAnsi="Noor_Titr" w:cs="B Badr"/>
          <w:color w:val="000000" w:themeColor="text1"/>
          <w:rtl/>
        </w:rPr>
        <w:t>ج 7</w:t>
      </w:r>
      <w:r w:rsidRPr="009E3B75">
        <w:rPr>
          <w:rFonts w:ascii="Noor_Titr" w:hAnsi="Noor_Titr" w:cs="B Badr" w:hint="cs"/>
          <w:color w:val="000000" w:themeColor="text1"/>
          <w:rtl/>
        </w:rPr>
        <w:t>، ص: 184</w:t>
      </w:r>
    </w:p>
  </w:footnote>
  <w:footnote w:id="2">
    <w:p w:rsidR="009E3B75" w:rsidRDefault="009E3B7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E3B75">
        <w:rPr>
          <w:rFonts w:ascii="Noor_Titr" w:hAnsi="Noor_Titr" w:cs="B Badr" w:hint="cs"/>
          <w:color w:val="000000" w:themeColor="text1"/>
          <w:rtl/>
        </w:rPr>
        <w:t>تهذ</w:t>
      </w:r>
      <w:r w:rsidR="00092AFA">
        <w:rPr>
          <w:rFonts w:ascii="Noor_Titr" w:hAnsi="Noor_Titr" w:cs="B Badr" w:hint="cs"/>
          <w:color w:val="000000" w:themeColor="text1"/>
          <w:rtl/>
        </w:rPr>
        <w:t>ی</w:t>
      </w:r>
      <w:r w:rsidRPr="009E3B75">
        <w:rPr>
          <w:rFonts w:ascii="Noor_Titr" w:hAnsi="Noor_Titr" w:cs="B Badr" w:hint="cs"/>
          <w:color w:val="000000" w:themeColor="text1"/>
          <w:rtl/>
        </w:rPr>
        <w:t>ب الأح</w:t>
      </w:r>
      <w:r w:rsidR="00092AFA">
        <w:rPr>
          <w:rFonts w:ascii="Noor_Titr" w:hAnsi="Noor_Titr" w:cs="B Badr" w:hint="cs"/>
          <w:color w:val="000000" w:themeColor="text1"/>
          <w:rtl/>
        </w:rPr>
        <w:t>ک</w:t>
      </w:r>
      <w:r w:rsidRPr="009E3B75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092AFA">
        <w:rPr>
          <w:rFonts w:ascii="Noor_Titr" w:hAnsi="Noor_Titr" w:cs="B Badr"/>
          <w:color w:val="000000" w:themeColor="text1"/>
          <w:rtl/>
        </w:rPr>
        <w:t>ج 10</w:t>
      </w:r>
      <w:r w:rsidRPr="009E3B75">
        <w:rPr>
          <w:rFonts w:ascii="Noor_Titr" w:hAnsi="Noor_Titr" w:cs="B Badr" w:hint="cs"/>
          <w:color w:val="000000" w:themeColor="text1"/>
          <w:rtl/>
        </w:rPr>
        <w:t>، ص: 34</w:t>
      </w:r>
    </w:p>
  </w:footnote>
  <w:footnote w:id="3">
    <w:p w:rsidR="00D60F51" w:rsidRDefault="00D60F5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60F51">
        <w:rPr>
          <w:rFonts w:ascii="Noor_Titr" w:hAnsi="Noor_Titr" w:cs="B Badr" w:hint="cs"/>
          <w:color w:val="000000" w:themeColor="text1"/>
          <w:rtl/>
        </w:rPr>
        <w:t>تهذ</w:t>
      </w:r>
      <w:r w:rsidR="00092AFA">
        <w:rPr>
          <w:rFonts w:ascii="Noor_Titr" w:hAnsi="Noor_Titr" w:cs="B Badr" w:hint="cs"/>
          <w:color w:val="000000" w:themeColor="text1"/>
          <w:rtl/>
        </w:rPr>
        <w:t>ی</w:t>
      </w:r>
      <w:r w:rsidRPr="00D60F51">
        <w:rPr>
          <w:rFonts w:ascii="Noor_Titr" w:hAnsi="Noor_Titr" w:cs="B Badr" w:hint="cs"/>
          <w:color w:val="000000" w:themeColor="text1"/>
          <w:rtl/>
        </w:rPr>
        <w:t>ب الأح</w:t>
      </w:r>
      <w:r w:rsidR="00092AFA">
        <w:rPr>
          <w:rFonts w:ascii="Noor_Titr" w:hAnsi="Noor_Titr" w:cs="B Badr" w:hint="cs"/>
          <w:color w:val="000000" w:themeColor="text1"/>
          <w:rtl/>
        </w:rPr>
        <w:t>ک</w:t>
      </w:r>
      <w:r w:rsidRPr="00D60F51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092AFA">
        <w:rPr>
          <w:rFonts w:ascii="Noor_Titr" w:hAnsi="Noor_Titr" w:cs="B Badr"/>
          <w:color w:val="000000" w:themeColor="text1"/>
          <w:rtl/>
        </w:rPr>
        <w:t>ج 10</w:t>
      </w:r>
      <w:r w:rsidRPr="00D60F51">
        <w:rPr>
          <w:rFonts w:ascii="Noor_Titr" w:hAnsi="Noor_Titr" w:cs="B Badr" w:hint="cs"/>
          <w:color w:val="000000" w:themeColor="text1"/>
          <w:rtl/>
        </w:rPr>
        <w:t>، ص: 11</w:t>
      </w:r>
    </w:p>
  </w:footnote>
  <w:footnote w:id="4">
    <w:p w:rsidR="00D60F51" w:rsidRDefault="00D60F5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60F51">
        <w:rPr>
          <w:rFonts w:ascii="Noor_Titr" w:hAnsi="Noor_Titr" w:cs="B Badr" w:hint="cs"/>
          <w:color w:val="000000" w:themeColor="text1"/>
          <w:rtl/>
        </w:rPr>
        <w:t>ال</w:t>
      </w:r>
      <w:r w:rsidR="00092AFA">
        <w:rPr>
          <w:rFonts w:ascii="Noor_Titr" w:hAnsi="Noor_Titr" w:cs="B Badr" w:hint="cs"/>
          <w:color w:val="000000" w:themeColor="text1"/>
          <w:rtl/>
        </w:rPr>
        <w:t>ک</w:t>
      </w:r>
      <w:r w:rsidRPr="00D60F51">
        <w:rPr>
          <w:rFonts w:ascii="Noor_Titr" w:hAnsi="Noor_Titr" w:cs="B Badr" w:hint="cs"/>
          <w:color w:val="000000" w:themeColor="text1"/>
          <w:rtl/>
        </w:rPr>
        <w:t>اف</w:t>
      </w:r>
      <w:r w:rsidR="00092AFA">
        <w:rPr>
          <w:rFonts w:ascii="Noor_Titr" w:hAnsi="Noor_Titr" w:cs="B Badr" w:hint="cs"/>
          <w:color w:val="000000" w:themeColor="text1"/>
          <w:rtl/>
        </w:rPr>
        <w:t>ی</w:t>
      </w:r>
      <w:r w:rsidRPr="00D60F51">
        <w:rPr>
          <w:rFonts w:ascii="Noor_Titr" w:hAnsi="Noor_Titr" w:cs="B Badr" w:hint="cs"/>
          <w:color w:val="000000" w:themeColor="text1"/>
          <w:rtl/>
        </w:rPr>
        <w:t xml:space="preserve"> (ط - دار الحد</w:t>
      </w:r>
      <w:r w:rsidR="00092AFA">
        <w:rPr>
          <w:rFonts w:ascii="Noor_Titr" w:hAnsi="Noor_Titr" w:cs="B Badr" w:hint="cs"/>
          <w:color w:val="000000" w:themeColor="text1"/>
          <w:rtl/>
        </w:rPr>
        <w:t>ی</w:t>
      </w:r>
      <w:r w:rsidRPr="00D60F51">
        <w:rPr>
          <w:rFonts w:ascii="Noor_Titr" w:hAnsi="Noor_Titr" w:cs="B Badr" w:hint="cs"/>
          <w:color w:val="000000" w:themeColor="text1"/>
          <w:rtl/>
        </w:rPr>
        <w:t xml:space="preserve">ث)؛ </w:t>
      </w:r>
      <w:r w:rsidR="00092AFA">
        <w:rPr>
          <w:rFonts w:ascii="Noor_Titr" w:hAnsi="Noor_Titr" w:cs="B Badr"/>
          <w:color w:val="000000" w:themeColor="text1"/>
          <w:rtl/>
        </w:rPr>
        <w:t>ج 14</w:t>
      </w:r>
      <w:r w:rsidRPr="00D60F51">
        <w:rPr>
          <w:rFonts w:ascii="Noor_Titr" w:hAnsi="Noor_Titr" w:cs="B Badr" w:hint="cs"/>
          <w:color w:val="000000" w:themeColor="text1"/>
          <w:rtl/>
        </w:rPr>
        <w:t>، ص: 48</w:t>
      </w:r>
    </w:p>
  </w:footnote>
  <w:footnote w:id="5">
    <w:p w:rsidR="00D60F51" w:rsidRDefault="00D60F51">
      <w:pPr>
        <w:pStyle w:val="FootnoteText"/>
        <w:rPr>
          <w:rtl/>
        </w:rPr>
      </w:pPr>
      <w:r w:rsidRPr="00D60F51">
        <w:rPr>
          <w:rFonts w:ascii="Noor_Titr" w:hAnsi="Noor_Titr" w:cs="B Badr" w:hint="cs"/>
          <w:color w:val="000000" w:themeColor="text1"/>
          <w:rtl/>
        </w:rPr>
        <w:t>ال</w:t>
      </w:r>
      <w:r w:rsidR="00092AFA">
        <w:rPr>
          <w:rFonts w:ascii="Noor_Titr" w:hAnsi="Noor_Titr" w:cs="B Badr" w:hint="cs"/>
          <w:color w:val="000000" w:themeColor="text1"/>
          <w:rtl/>
        </w:rPr>
        <w:t>ک</w:t>
      </w:r>
      <w:r w:rsidRPr="00D60F51">
        <w:rPr>
          <w:rFonts w:ascii="Noor_Titr" w:hAnsi="Noor_Titr" w:cs="B Badr" w:hint="cs"/>
          <w:color w:val="000000" w:themeColor="text1"/>
          <w:rtl/>
        </w:rPr>
        <w:t>اف</w:t>
      </w:r>
      <w:r w:rsidR="00092AFA">
        <w:rPr>
          <w:rFonts w:ascii="Noor_Titr" w:hAnsi="Noor_Titr" w:cs="B Badr" w:hint="cs"/>
          <w:color w:val="000000" w:themeColor="text1"/>
          <w:rtl/>
        </w:rPr>
        <w:t>ی</w:t>
      </w:r>
      <w:r w:rsidRPr="00D60F51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092AFA">
        <w:rPr>
          <w:rFonts w:ascii="Noor_Titr" w:hAnsi="Noor_Titr" w:cs="B Badr" w:hint="cs"/>
          <w:color w:val="000000" w:themeColor="text1"/>
          <w:rtl/>
        </w:rPr>
        <w:t>ی</w:t>
      </w:r>
      <w:r w:rsidRPr="00D60F51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092AFA">
        <w:rPr>
          <w:rFonts w:ascii="Noor_Titr" w:hAnsi="Noor_Titr" w:cs="B Badr"/>
          <w:color w:val="000000" w:themeColor="text1"/>
          <w:rtl/>
        </w:rPr>
        <w:t>ج 7</w:t>
      </w:r>
      <w:r w:rsidRPr="00D60F51">
        <w:rPr>
          <w:rFonts w:ascii="Noor_Titr" w:hAnsi="Noor_Titr" w:cs="B Badr" w:hint="cs"/>
          <w:color w:val="000000" w:themeColor="text1"/>
          <w:rtl/>
        </w:rPr>
        <w:t>، ص: 188</w:t>
      </w:r>
      <w:r>
        <w:rPr>
          <w:rStyle w:val="FootnoteReference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C83A5C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365F9D0" wp14:editId="2A2D994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3C69BD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9" w:name="OLE_LINK1"/>
    <w:bookmarkStart w:id="20" w:name="OLE_LINK2"/>
    <w:r>
      <w:rPr>
        <w:noProof/>
        <w:lang w:bidi="fa-IR"/>
      </w:rPr>
      <w:drawing>
        <wp:inline distT="0" distB="0" distL="0" distR="0" wp14:anchorId="325DDDE2" wp14:editId="5615FD9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9"/>
    <w:bookmarkEnd w:id="20"/>
    <w:r w:rsidR="00092AFA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C83A5C">
      <w:rPr>
        <w:rFonts w:ascii="IranNastaliq" w:hAnsi="IranNastaliq" w:cs="IranNastaliq" w:hint="cs"/>
        <w:sz w:val="40"/>
        <w:szCs w:val="40"/>
        <w:rtl/>
      </w:rPr>
      <w:t>779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5C"/>
    <w:rsid w:val="00005661"/>
    <w:rsid w:val="000228A2"/>
    <w:rsid w:val="000324F1"/>
    <w:rsid w:val="00041FE0"/>
    <w:rsid w:val="00052BA3"/>
    <w:rsid w:val="0006363E"/>
    <w:rsid w:val="00080DFF"/>
    <w:rsid w:val="00085ED5"/>
    <w:rsid w:val="00092AFA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0EF1"/>
    <w:rsid w:val="001F2E3E"/>
    <w:rsid w:val="00224C0A"/>
    <w:rsid w:val="002376A5"/>
    <w:rsid w:val="002417C9"/>
    <w:rsid w:val="00250FC4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0754D"/>
    <w:rsid w:val="00340BA3"/>
    <w:rsid w:val="0036478E"/>
    <w:rsid w:val="00366400"/>
    <w:rsid w:val="003963D7"/>
    <w:rsid w:val="00396F28"/>
    <w:rsid w:val="003A1A05"/>
    <w:rsid w:val="003A2654"/>
    <w:rsid w:val="003B3390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8621A"/>
    <w:rsid w:val="004B337F"/>
    <w:rsid w:val="004C7592"/>
    <w:rsid w:val="004F3596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468AB"/>
    <w:rsid w:val="0066229C"/>
    <w:rsid w:val="0069696C"/>
    <w:rsid w:val="006A085A"/>
    <w:rsid w:val="006D3A87"/>
    <w:rsid w:val="006F01B4"/>
    <w:rsid w:val="006F77BF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662CE"/>
    <w:rsid w:val="00883733"/>
    <w:rsid w:val="008965D2"/>
    <w:rsid w:val="008A134F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085E"/>
    <w:rsid w:val="009C7B4F"/>
    <w:rsid w:val="009E3B75"/>
    <w:rsid w:val="009F4EB3"/>
    <w:rsid w:val="00A0658C"/>
    <w:rsid w:val="00A06D48"/>
    <w:rsid w:val="00A129EB"/>
    <w:rsid w:val="00A1693E"/>
    <w:rsid w:val="00A21834"/>
    <w:rsid w:val="00A31C17"/>
    <w:rsid w:val="00A31FDE"/>
    <w:rsid w:val="00A35AC2"/>
    <w:rsid w:val="00A37C77"/>
    <w:rsid w:val="00A5418D"/>
    <w:rsid w:val="00A56A10"/>
    <w:rsid w:val="00A725C2"/>
    <w:rsid w:val="00A769EE"/>
    <w:rsid w:val="00A810A5"/>
    <w:rsid w:val="00A9616A"/>
    <w:rsid w:val="00A96F68"/>
    <w:rsid w:val="00AA2342"/>
    <w:rsid w:val="00AD0304"/>
    <w:rsid w:val="00AD27BE"/>
    <w:rsid w:val="00AF05F5"/>
    <w:rsid w:val="00AF0F1A"/>
    <w:rsid w:val="00B15027"/>
    <w:rsid w:val="00B21CF4"/>
    <w:rsid w:val="00B24300"/>
    <w:rsid w:val="00B63F15"/>
    <w:rsid w:val="00B71857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40738"/>
    <w:rsid w:val="00C60D75"/>
    <w:rsid w:val="00C64CEA"/>
    <w:rsid w:val="00C73012"/>
    <w:rsid w:val="00C763DD"/>
    <w:rsid w:val="00C83A5C"/>
    <w:rsid w:val="00C84FC0"/>
    <w:rsid w:val="00C9244A"/>
    <w:rsid w:val="00CB5DA3"/>
    <w:rsid w:val="00CE31E6"/>
    <w:rsid w:val="00CE3B74"/>
    <w:rsid w:val="00CF42E2"/>
    <w:rsid w:val="00CF7916"/>
    <w:rsid w:val="00D158F3"/>
    <w:rsid w:val="00D16E23"/>
    <w:rsid w:val="00D329C6"/>
    <w:rsid w:val="00D3665C"/>
    <w:rsid w:val="00D45085"/>
    <w:rsid w:val="00D508CC"/>
    <w:rsid w:val="00D50F4B"/>
    <w:rsid w:val="00D60547"/>
    <w:rsid w:val="00D60F51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205F"/>
    <w:rsid w:val="00E55891"/>
    <w:rsid w:val="00E6283A"/>
    <w:rsid w:val="00E732A3"/>
    <w:rsid w:val="00E8204C"/>
    <w:rsid w:val="00E83A85"/>
    <w:rsid w:val="00E90FC4"/>
    <w:rsid w:val="00EA01EC"/>
    <w:rsid w:val="00EA15B0"/>
    <w:rsid w:val="00EA5D97"/>
    <w:rsid w:val="00EB68C0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83A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C085E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B 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C085E"/>
    <w:rPr>
      <w:rFonts w:ascii="Cambria" w:eastAsia="2  Lotus" w:hAnsi="Cambria" w:cs="B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E3B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6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83A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C085E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B 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C085E"/>
    <w:rPr>
      <w:rFonts w:ascii="Cambria" w:eastAsia="2  Lotus" w:hAnsi="Cambria" w:cs="B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E3B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6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665A-D8C0-4630-8FA4-097BAFF2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122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17</cp:revision>
  <dcterms:created xsi:type="dcterms:W3CDTF">2014-12-20T10:05:00Z</dcterms:created>
  <dcterms:modified xsi:type="dcterms:W3CDTF">2015-08-15T05:42:00Z</dcterms:modified>
</cp:coreProperties>
</file>