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66" w:rsidRDefault="00F943A1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bookmarkStart w:id="0" w:name="_GoBack"/>
      <w:r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بسم‌الله</w:t>
      </w:r>
      <w:r w:rsidR="000A63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bookmarkEnd w:id="0"/>
      <w:r w:rsidR="000A63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الرحمن الرحیم</w:t>
      </w:r>
    </w:p>
    <w:p w:rsidR="002A29FE" w:rsidRDefault="002A29FE" w:rsidP="002A29FE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فهرست مطالب:</w:t>
      </w:r>
    </w:p>
    <w:p w:rsidR="002A29FE" w:rsidRDefault="002A29FE" w:rsidP="002A29FE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color w:val="000000" w:themeColor="text1"/>
          <w:sz w:val="28"/>
          <w:rtl/>
        </w:rPr>
        <w:fldChar w:fldCharType="begin"/>
      </w:r>
      <w:r>
        <w:rPr>
          <w:rFonts w:ascii="IRBadr" w:hAnsi="IRBadr" w:cs="IRBadr"/>
          <w:color w:val="000000" w:themeColor="text1"/>
          <w:sz w:val="28"/>
          <w:rtl/>
        </w:rPr>
        <w:instrText xml:space="preserve"> </w:instrText>
      </w:r>
      <w:r>
        <w:rPr>
          <w:rFonts w:ascii="IRBadr" w:hAnsi="IRBadr" w:cs="IRBadr"/>
          <w:color w:val="000000" w:themeColor="text1"/>
          <w:sz w:val="28"/>
        </w:rPr>
        <w:instrText>TOC</w:instrText>
      </w:r>
      <w:r>
        <w:rPr>
          <w:rFonts w:ascii="IRBadr" w:hAnsi="IRBadr" w:cs="IRBadr"/>
          <w:color w:val="000000" w:themeColor="text1"/>
          <w:sz w:val="28"/>
          <w:rtl/>
        </w:rPr>
        <w:instrText xml:space="preserve"> \</w:instrText>
      </w:r>
      <w:r>
        <w:rPr>
          <w:rFonts w:ascii="IRBadr" w:hAnsi="IRBadr" w:cs="IRBadr"/>
          <w:color w:val="000000" w:themeColor="text1"/>
          <w:sz w:val="28"/>
        </w:rPr>
        <w:instrText>o "</w:instrText>
      </w:r>
      <w:r>
        <w:rPr>
          <w:rFonts w:ascii="IRBadr" w:hAnsi="IRBadr" w:cs="IRBadr"/>
          <w:color w:val="000000" w:themeColor="text1"/>
          <w:sz w:val="28"/>
          <w:rtl/>
        </w:rPr>
        <w:instrText>1-4</w:instrText>
      </w:r>
      <w:r>
        <w:rPr>
          <w:rFonts w:ascii="IRBadr" w:hAnsi="IRBadr" w:cs="IRBadr"/>
          <w:color w:val="000000" w:themeColor="text1"/>
          <w:sz w:val="28"/>
        </w:rPr>
        <w:instrText>" \h \z \u</w:instrText>
      </w:r>
      <w:r>
        <w:rPr>
          <w:rFonts w:ascii="IRBadr" w:hAnsi="IRBadr" w:cs="IRBadr"/>
          <w:color w:val="000000" w:themeColor="text1"/>
          <w:sz w:val="28"/>
          <w:rtl/>
        </w:rPr>
        <w:instrText xml:space="preserve"> </w:instrText>
      </w:r>
      <w:r>
        <w:rPr>
          <w:rFonts w:ascii="IRBadr" w:hAnsi="IRBadr" w:cs="IRBadr"/>
          <w:color w:val="000000" w:themeColor="text1"/>
          <w:sz w:val="28"/>
          <w:rtl/>
        </w:rPr>
        <w:fldChar w:fldCharType="separate"/>
      </w:r>
      <w:hyperlink w:anchor="_Toc425933252" w:history="1">
        <w:r w:rsidRPr="00720936">
          <w:rPr>
            <w:rStyle w:val="Hyperlink"/>
            <w:rFonts w:ascii="IRBadr" w:hAnsi="IRBadr" w:cs="IRBadr" w:hint="eastAsia"/>
            <w:noProof/>
            <w:rtl/>
          </w:rPr>
          <w:t>مشارکت</w:t>
        </w:r>
        <w:r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720936">
          <w:rPr>
            <w:rStyle w:val="Hyperlink"/>
            <w:rFonts w:ascii="IRBadr" w:hAnsi="IRBadr" w:cs="IRBadr" w:hint="eastAsia"/>
            <w:noProof/>
            <w:rtl/>
          </w:rPr>
          <w:t>مستحق</w:t>
        </w:r>
        <w:r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720936">
          <w:rPr>
            <w:rStyle w:val="Hyperlink"/>
            <w:rFonts w:ascii="IRBadr" w:hAnsi="IRBadr" w:cs="IRBadr" w:hint="eastAsia"/>
            <w:noProof/>
            <w:rtl/>
          </w:rPr>
          <w:t>حد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_Toc425933252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2A29FE" w:rsidRDefault="00A4311A" w:rsidP="002A29FE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933253" w:history="1"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گذشته</w:t>
        </w:r>
        <w:r w:rsidR="002A29FE">
          <w:rPr>
            <w:noProof/>
            <w:webHidden/>
          </w:rPr>
          <w:tab/>
        </w:r>
        <w:r w:rsidR="002A29FE">
          <w:rPr>
            <w:rStyle w:val="Hyperlink"/>
            <w:noProof/>
            <w:rtl/>
          </w:rPr>
          <w:fldChar w:fldCharType="begin"/>
        </w:r>
        <w:r w:rsidR="002A29FE">
          <w:rPr>
            <w:noProof/>
            <w:webHidden/>
          </w:rPr>
          <w:instrText xml:space="preserve"> PAGEREF _Toc425933253 \h </w:instrText>
        </w:r>
        <w:r w:rsidR="002A29FE">
          <w:rPr>
            <w:rStyle w:val="Hyperlink"/>
            <w:noProof/>
            <w:rtl/>
          </w:rPr>
        </w:r>
        <w:r w:rsidR="002A29FE">
          <w:rPr>
            <w:rStyle w:val="Hyperlink"/>
            <w:noProof/>
            <w:rtl/>
          </w:rPr>
          <w:fldChar w:fldCharType="separate"/>
        </w:r>
        <w:r w:rsidR="002A29FE">
          <w:rPr>
            <w:noProof/>
            <w:webHidden/>
          </w:rPr>
          <w:t>1</w:t>
        </w:r>
        <w:r w:rsidR="002A29FE">
          <w:rPr>
            <w:rStyle w:val="Hyperlink"/>
            <w:noProof/>
            <w:rtl/>
          </w:rPr>
          <w:fldChar w:fldCharType="end"/>
        </w:r>
      </w:hyperlink>
    </w:p>
    <w:p w:rsidR="002A29FE" w:rsidRDefault="00A4311A" w:rsidP="002A29F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933254" w:history="1"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تعم</w:t>
        </w:r>
        <w:r w:rsidR="002A29FE" w:rsidRPr="00720936">
          <w:rPr>
            <w:rStyle w:val="Hyperlink"/>
            <w:rFonts w:ascii="IRBadr" w:hAnsi="IRBadr" w:cs="IRBadr" w:hint="cs"/>
            <w:noProof/>
            <w:rtl/>
          </w:rPr>
          <w:t>ی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م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cs"/>
            <w:noProof/>
            <w:rtl/>
          </w:rPr>
          <w:t>ی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ا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تحد</w:t>
        </w:r>
        <w:r w:rsidR="002A29FE" w:rsidRPr="00720936">
          <w:rPr>
            <w:rStyle w:val="Hyperlink"/>
            <w:rFonts w:ascii="IRBadr" w:hAnsi="IRBadr" w:cs="IRBadr" w:hint="cs"/>
            <w:noProof/>
            <w:rtl/>
          </w:rPr>
          <w:t>ی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د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2A29FE">
          <w:rPr>
            <w:noProof/>
            <w:webHidden/>
          </w:rPr>
          <w:tab/>
        </w:r>
        <w:r w:rsidR="002A29FE">
          <w:rPr>
            <w:rStyle w:val="Hyperlink"/>
            <w:noProof/>
            <w:rtl/>
          </w:rPr>
          <w:fldChar w:fldCharType="begin"/>
        </w:r>
        <w:r w:rsidR="002A29FE">
          <w:rPr>
            <w:noProof/>
            <w:webHidden/>
          </w:rPr>
          <w:instrText xml:space="preserve"> PAGEREF _Toc425933254 \h </w:instrText>
        </w:r>
        <w:r w:rsidR="002A29FE">
          <w:rPr>
            <w:rStyle w:val="Hyperlink"/>
            <w:noProof/>
            <w:rtl/>
          </w:rPr>
        </w:r>
        <w:r w:rsidR="002A29FE">
          <w:rPr>
            <w:rStyle w:val="Hyperlink"/>
            <w:noProof/>
            <w:rtl/>
          </w:rPr>
          <w:fldChar w:fldCharType="separate"/>
        </w:r>
        <w:r w:rsidR="002A29FE">
          <w:rPr>
            <w:noProof/>
            <w:webHidden/>
          </w:rPr>
          <w:t>2</w:t>
        </w:r>
        <w:r w:rsidR="002A29FE">
          <w:rPr>
            <w:rStyle w:val="Hyperlink"/>
            <w:noProof/>
            <w:rtl/>
          </w:rPr>
          <w:fldChar w:fldCharType="end"/>
        </w:r>
      </w:hyperlink>
    </w:p>
    <w:p w:rsidR="002A29FE" w:rsidRDefault="00A4311A" w:rsidP="002A29FE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933255" w:history="1"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عل</w:t>
        </w:r>
        <w:r w:rsidR="002A29FE" w:rsidRPr="00720936">
          <w:rPr>
            <w:rStyle w:val="Hyperlink"/>
            <w:rFonts w:ascii="IRBadr" w:hAnsi="IRBadr" w:cs="IRBadr" w:hint="cs"/>
            <w:noProof/>
            <w:rtl/>
          </w:rPr>
          <w:t>ی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حکم</w:t>
        </w:r>
        <w:r w:rsidR="002A29FE">
          <w:rPr>
            <w:noProof/>
            <w:webHidden/>
          </w:rPr>
          <w:tab/>
        </w:r>
        <w:r w:rsidR="002A29FE">
          <w:rPr>
            <w:rStyle w:val="Hyperlink"/>
            <w:noProof/>
            <w:rtl/>
          </w:rPr>
          <w:fldChar w:fldCharType="begin"/>
        </w:r>
        <w:r w:rsidR="002A29FE">
          <w:rPr>
            <w:noProof/>
            <w:webHidden/>
          </w:rPr>
          <w:instrText xml:space="preserve"> PAGEREF _Toc425933255 \h </w:instrText>
        </w:r>
        <w:r w:rsidR="002A29FE">
          <w:rPr>
            <w:rStyle w:val="Hyperlink"/>
            <w:noProof/>
            <w:rtl/>
          </w:rPr>
        </w:r>
        <w:r w:rsidR="002A29FE">
          <w:rPr>
            <w:rStyle w:val="Hyperlink"/>
            <w:noProof/>
            <w:rtl/>
          </w:rPr>
          <w:fldChar w:fldCharType="separate"/>
        </w:r>
        <w:r w:rsidR="002A29FE">
          <w:rPr>
            <w:noProof/>
            <w:webHidden/>
          </w:rPr>
          <w:t>2</w:t>
        </w:r>
        <w:r w:rsidR="002A29FE">
          <w:rPr>
            <w:rStyle w:val="Hyperlink"/>
            <w:noProof/>
            <w:rtl/>
          </w:rPr>
          <w:fldChar w:fldCharType="end"/>
        </w:r>
      </w:hyperlink>
    </w:p>
    <w:p w:rsidR="002A29FE" w:rsidRDefault="00A4311A" w:rsidP="002A29F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933256" w:history="1"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شمول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تعز</w:t>
        </w:r>
        <w:r w:rsidR="002A29FE" w:rsidRPr="00720936">
          <w:rPr>
            <w:rStyle w:val="Hyperlink"/>
            <w:rFonts w:ascii="IRBadr" w:hAnsi="IRBadr" w:cs="IRBadr" w:hint="cs"/>
            <w:noProof/>
            <w:rtl/>
          </w:rPr>
          <w:t>ی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رات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ا</w:t>
        </w:r>
        <w:r w:rsidR="002A29FE" w:rsidRPr="00720936">
          <w:rPr>
            <w:rStyle w:val="Hyperlink"/>
            <w:rFonts w:ascii="IRBadr" w:hAnsi="IRBadr" w:cs="IRBadr" w:hint="cs"/>
            <w:noProof/>
            <w:rtl/>
          </w:rPr>
          <w:t>ی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ن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مقام</w:t>
        </w:r>
        <w:r w:rsidR="002A29FE">
          <w:rPr>
            <w:noProof/>
            <w:webHidden/>
          </w:rPr>
          <w:tab/>
        </w:r>
        <w:r w:rsidR="002A29FE">
          <w:rPr>
            <w:rStyle w:val="Hyperlink"/>
            <w:noProof/>
            <w:rtl/>
          </w:rPr>
          <w:fldChar w:fldCharType="begin"/>
        </w:r>
        <w:r w:rsidR="002A29FE">
          <w:rPr>
            <w:noProof/>
            <w:webHidden/>
          </w:rPr>
          <w:instrText xml:space="preserve"> PAGEREF _Toc425933256 \h </w:instrText>
        </w:r>
        <w:r w:rsidR="002A29FE">
          <w:rPr>
            <w:rStyle w:val="Hyperlink"/>
            <w:noProof/>
            <w:rtl/>
          </w:rPr>
        </w:r>
        <w:r w:rsidR="002A29FE">
          <w:rPr>
            <w:rStyle w:val="Hyperlink"/>
            <w:noProof/>
            <w:rtl/>
          </w:rPr>
          <w:fldChar w:fldCharType="separate"/>
        </w:r>
        <w:r w:rsidR="002A29FE">
          <w:rPr>
            <w:noProof/>
            <w:webHidden/>
          </w:rPr>
          <w:t>2</w:t>
        </w:r>
        <w:r w:rsidR="002A29FE">
          <w:rPr>
            <w:rStyle w:val="Hyperlink"/>
            <w:noProof/>
            <w:rtl/>
          </w:rPr>
          <w:fldChar w:fldCharType="end"/>
        </w:r>
      </w:hyperlink>
    </w:p>
    <w:p w:rsidR="002A29FE" w:rsidRDefault="00A4311A" w:rsidP="002A29FE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933257" w:history="1"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نت</w:t>
        </w:r>
        <w:r w:rsidR="002A29FE" w:rsidRPr="00720936">
          <w:rPr>
            <w:rStyle w:val="Hyperlink"/>
            <w:rFonts w:ascii="IRBadr" w:hAnsi="IRBadr" w:cs="IRBadr" w:hint="cs"/>
            <w:noProof/>
            <w:rtl/>
          </w:rPr>
          <w:t>ی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جه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گ</w:t>
        </w:r>
        <w:r w:rsidR="002A29FE" w:rsidRPr="00720936">
          <w:rPr>
            <w:rStyle w:val="Hyperlink"/>
            <w:rFonts w:ascii="IRBadr" w:hAnsi="IRBadr" w:cs="IRBadr" w:hint="cs"/>
            <w:noProof/>
            <w:rtl/>
          </w:rPr>
          <w:t>ی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ر</w:t>
        </w:r>
        <w:r w:rsidR="002A29FE" w:rsidRPr="00720936">
          <w:rPr>
            <w:rStyle w:val="Hyperlink"/>
            <w:rFonts w:ascii="IRBadr" w:hAnsi="IRBadr" w:cs="IRBadr" w:hint="cs"/>
            <w:noProof/>
            <w:rtl/>
          </w:rPr>
          <w:t>ی</w:t>
        </w:r>
        <w:r w:rsidR="002A29FE">
          <w:rPr>
            <w:noProof/>
            <w:webHidden/>
          </w:rPr>
          <w:tab/>
        </w:r>
        <w:r w:rsidR="002A29FE">
          <w:rPr>
            <w:rStyle w:val="Hyperlink"/>
            <w:noProof/>
            <w:rtl/>
          </w:rPr>
          <w:fldChar w:fldCharType="begin"/>
        </w:r>
        <w:r w:rsidR="002A29FE">
          <w:rPr>
            <w:noProof/>
            <w:webHidden/>
          </w:rPr>
          <w:instrText xml:space="preserve"> PAGEREF _Toc425933257 \h </w:instrText>
        </w:r>
        <w:r w:rsidR="002A29FE">
          <w:rPr>
            <w:rStyle w:val="Hyperlink"/>
            <w:noProof/>
            <w:rtl/>
          </w:rPr>
        </w:r>
        <w:r w:rsidR="002A29FE">
          <w:rPr>
            <w:rStyle w:val="Hyperlink"/>
            <w:noProof/>
            <w:rtl/>
          </w:rPr>
          <w:fldChar w:fldCharType="separate"/>
        </w:r>
        <w:r w:rsidR="002A29FE">
          <w:rPr>
            <w:noProof/>
            <w:webHidden/>
          </w:rPr>
          <w:t>2</w:t>
        </w:r>
        <w:r w:rsidR="002A29FE">
          <w:rPr>
            <w:rStyle w:val="Hyperlink"/>
            <w:noProof/>
            <w:rtl/>
          </w:rPr>
          <w:fldChar w:fldCharType="end"/>
        </w:r>
      </w:hyperlink>
    </w:p>
    <w:p w:rsidR="002A29FE" w:rsidRDefault="00A4311A" w:rsidP="002A29FE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933258" w:history="1"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فرض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اجرا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صورت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توبه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cs"/>
            <w:noProof/>
            <w:rtl/>
          </w:rPr>
          <w:t>ی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ا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اجرا</w:t>
        </w:r>
        <w:r w:rsidR="002A29FE" w:rsidRPr="00720936">
          <w:rPr>
            <w:rStyle w:val="Hyperlink"/>
            <w:rFonts w:ascii="IRBadr" w:hAnsi="IRBadr" w:cs="IRBadr" w:hint="cs"/>
            <w:noProof/>
            <w:rtl/>
          </w:rPr>
          <w:t>ی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حد</w:t>
        </w:r>
        <w:r w:rsidR="002A29FE">
          <w:rPr>
            <w:noProof/>
            <w:webHidden/>
          </w:rPr>
          <w:tab/>
        </w:r>
        <w:r w:rsidR="002A29FE">
          <w:rPr>
            <w:rStyle w:val="Hyperlink"/>
            <w:noProof/>
            <w:rtl/>
          </w:rPr>
          <w:fldChar w:fldCharType="begin"/>
        </w:r>
        <w:r w:rsidR="002A29FE">
          <w:rPr>
            <w:noProof/>
            <w:webHidden/>
          </w:rPr>
          <w:instrText xml:space="preserve"> PAGEREF _Toc425933258 \h </w:instrText>
        </w:r>
        <w:r w:rsidR="002A29FE">
          <w:rPr>
            <w:rStyle w:val="Hyperlink"/>
            <w:noProof/>
            <w:rtl/>
          </w:rPr>
        </w:r>
        <w:r w:rsidR="002A29FE">
          <w:rPr>
            <w:rStyle w:val="Hyperlink"/>
            <w:noProof/>
            <w:rtl/>
          </w:rPr>
          <w:fldChar w:fldCharType="separate"/>
        </w:r>
        <w:r w:rsidR="002A29FE">
          <w:rPr>
            <w:noProof/>
            <w:webHidden/>
          </w:rPr>
          <w:t>3</w:t>
        </w:r>
        <w:r w:rsidR="002A29FE">
          <w:rPr>
            <w:rStyle w:val="Hyperlink"/>
            <w:noProof/>
            <w:rtl/>
          </w:rPr>
          <w:fldChar w:fldCharType="end"/>
        </w:r>
      </w:hyperlink>
    </w:p>
    <w:p w:rsidR="002A29FE" w:rsidRDefault="00A4311A" w:rsidP="002A29FE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933259" w:history="1"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احتمال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اول</w:t>
        </w:r>
        <w:r w:rsidR="002A29FE">
          <w:rPr>
            <w:noProof/>
            <w:webHidden/>
          </w:rPr>
          <w:tab/>
        </w:r>
        <w:r w:rsidR="002A29FE">
          <w:rPr>
            <w:rStyle w:val="Hyperlink"/>
            <w:noProof/>
            <w:rtl/>
          </w:rPr>
          <w:fldChar w:fldCharType="begin"/>
        </w:r>
        <w:r w:rsidR="002A29FE">
          <w:rPr>
            <w:noProof/>
            <w:webHidden/>
          </w:rPr>
          <w:instrText xml:space="preserve"> PAGEREF _Toc425933259 \h </w:instrText>
        </w:r>
        <w:r w:rsidR="002A29FE">
          <w:rPr>
            <w:rStyle w:val="Hyperlink"/>
            <w:noProof/>
            <w:rtl/>
          </w:rPr>
        </w:r>
        <w:r w:rsidR="002A29FE">
          <w:rPr>
            <w:rStyle w:val="Hyperlink"/>
            <w:noProof/>
            <w:rtl/>
          </w:rPr>
          <w:fldChar w:fldCharType="separate"/>
        </w:r>
        <w:r w:rsidR="002A29FE">
          <w:rPr>
            <w:noProof/>
            <w:webHidden/>
          </w:rPr>
          <w:t>3</w:t>
        </w:r>
        <w:r w:rsidR="002A29FE">
          <w:rPr>
            <w:rStyle w:val="Hyperlink"/>
            <w:noProof/>
            <w:rtl/>
          </w:rPr>
          <w:fldChar w:fldCharType="end"/>
        </w:r>
      </w:hyperlink>
    </w:p>
    <w:p w:rsidR="002A29FE" w:rsidRDefault="00A4311A" w:rsidP="002A29FE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933260" w:history="1"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احتمال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="002A29FE">
          <w:rPr>
            <w:noProof/>
            <w:webHidden/>
          </w:rPr>
          <w:tab/>
        </w:r>
        <w:r w:rsidR="002A29FE">
          <w:rPr>
            <w:rStyle w:val="Hyperlink"/>
            <w:noProof/>
            <w:rtl/>
          </w:rPr>
          <w:fldChar w:fldCharType="begin"/>
        </w:r>
        <w:r w:rsidR="002A29FE">
          <w:rPr>
            <w:noProof/>
            <w:webHidden/>
          </w:rPr>
          <w:instrText xml:space="preserve"> PAGEREF _Toc425933260 \h </w:instrText>
        </w:r>
        <w:r w:rsidR="002A29FE">
          <w:rPr>
            <w:rStyle w:val="Hyperlink"/>
            <w:noProof/>
            <w:rtl/>
          </w:rPr>
        </w:r>
        <w:r w:rsidR="002A29FE">
          <w:rPr>
            <w:rStyle w:val="Hyperlink"/>
            <w:noProof/>
            <w:rtl/>
          </w:rPr>
          <w:fldChar w:fldCharType="separate"/>
        </w:r>
        <w:r w:rsidR="002A29FE">
          <w:rPr>
            <w:noProof/>
            <w:webHidden/>
          </w:rPr>
          <w:t>3</w:t>
        </w:r>
        <w:r w:rsidR="002A29FE">
          <w:rPr>
            <w:rStyle w:val="Hyperlink"/>
            <w:noProof/>
            <w:rtl/>
          </w:rPr>
          <w:fldChar w:fldCharType="end"/>
        </w:r>
      </w:hyperlink>
    </w:p>
    <w:p w:rsidR="002A29FE" w:rsidRDefault="00A4311A" w:rsidP="002A29FE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933261" w:history="1"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شرط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عدالت</w:t>
        </w:r>
        <w:r w:rsidR="002A29FE">
          <w:rPr>
            <w:noProof/>
            <w:webHidden/>
          </w:rPr>
          <w:tab/>
        </w:r>
        <w:r w:rsidR="002A29FE">
          <w:rPr>
            <w:rStyle w:val="Hyperlink"/>
            <w:noProof/>
            <w:rtl/>
          </w:rPr>
          <w:fldChar w:fldCharType="begin"/>
        </w:r>
        <w:r w:rsidR="002A29FE">
          <w:rPr>
            <w:noProof/>
            <w:webHidden/>
          </w:rPr>
          <w:instrText xml:space="preserve"> PAGEREF _Toc425933261 \h </w:instrText>
        </w:r>
        <w:r w:rsidR="002A29FE">
          <w:rPr>
            <w:rStyle w:val="Hyperlink"/>
            <w:noProof/>
            <w:rtl/>
          </w:rPr>
        </w:r>
        <w:r w:rsidR="002A29FE">
          <w:rPr>
            <w:rStyle w:val="Hyperlink"/>
            <w:noProof/>
            <w:rtl/>
          </w:rPr>
          <w:fldChar w:fldCharType="separate"/>
        </w:r>
        <w:r w:rsidR="002A29FE">
          <w:rPr>
            <w:noProof/>
            <w:webHidden/>
          </w:rPr>
          <w:t>3</w:t>
        </w:r>
        <w:r w:rsidR="002A29FE">
          <w:rPr>
            <w:rStyle w:val="Hyperlink"/>
            <w:noProof/>
            <w:rtl/>
          </w:rPr>
          <w:fldChar w:fldCharType="end"/>
        </w:r>
      </w:hyperlink>
    </w:p>
    <w:p w:rsidR="002A29FE" w:rsidRDefault="00A4311A" w:rsidP="002A29FE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933262" w:history="1"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مبان</w:t>
        </w:r>
        <w:r w:rsidR="002A29FE" w:rsidRPr="00720936">
          <w:rPr>
            <w:rStyle w:val="Hyperlink"/>
            <w:rFonts w:ascii="IRBadr" w:hAnsi="IRBadr" w:cs="IRBadr" w:hint="cs"/>
            <w:noProof/>
            <w:rtl/>
          </w:rPr>
          <w:t>ی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حکم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توبه</w:t>
        </w:r>
        <w:r w:rsidR="002A29FE">
          <w:rPr>
            <w:noProof/>
            <w:webHidden/>
          </w:rPr>
          <w:tab/>
        </w:r>
        <w:r w:rsidR="002A29FE">
          <w:rPr>
            <w:rStyle w:val="Hyperlink"/>
            <w:noProof/>
            <w:rtl/>
          </w:rPr>
          <w:fldChar w:fldCharType="begin"/>
        </w:r>
        <w:r w:rsidR="002A29FE">
          <w:rPr>
            <w:noProof/>
            <w:webHidden/>
          </w:rPr>
          <w:instrText xml:space="preserve"> PAGEREF _Toc425933262 \h </w:instrText>
        </w:r>
        <w:r w:rsidR="002A29FE">
          <w:rPr>
            <w:rStyle w:val="Hyperlink"/>
            <w:noProof/>
            <w:rtl/>
          </w:rPr>
        </w:r>
        <w:r w:rsidR="002A29FE">
          <w:rPr>
            <w:rStyle w:val="Hyperlink"/>
            <w:noProof/>
            <w:rtl/>
          </w:rPr>
          <w:fldChar w:fldCharType="separate"/>
        </w:r>
        <w:r w:rsidR="002A29FE">
          <w:rPr>
            <w:noProof/>
            <w:webHidden/>
          </w:rPr>
          <w:t>3</w:t>
        </w:r>
        <w:r w:rsidR="002A29FE">
          <w:rPr>
            <w:rStyle w:val="Hyperlink"/>
            <w:noProof/>
            <w:rtl/>
          </w:rPr>
          <w:fldChar w:fldCharType="end"/>
        </w:r>
      </w:hyperlink>
    </w:p>
    <w:p w:rsidR="002A29FE" w:rsidRDefault="00A4311A" w:rsidP="002A29FE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933263" w:history="1"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مبنا</w:t>
        </w:r>
        <w:r w:rsidR="002A29FE" w:rsidRPr="00720936">
          <w:rPr>
            <w:rStyle w:val="Hyperlink"/>
            <w:rFonts w:ascii="IRBadr" w:hAnsi="IRBadr" w:cs="IRBadr" w:hint="cs"/>
            <w:noProof/>
            <w:rtl/>
          </w:rPr>
          <w:t>ی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قول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="002A29FE">
          <w:rPr>
            <w:noProof/>
            <w:webHidden/>
          </w:rPr>
          <w:tab/>
        </w:r>
        <w:r w:rsidR="002A29FE">
          <w:rPr>
            <w:rStyle w:val="Hyperlink"/>
            <w:noProof/>
            <w:rtl/>
          </w:rPr>
          <w:fldChar w:fldCharType="begin"/>
        </w:r>
        <w:r w:rsidR="002A29FE">
          <w:rPr>
            <w:noProof/>
            <w:webHidden/>
          </w:rPr>
          <w:instrText xml:space="preserve"> PAGEREF _Toc425933263 \h </w:instrText>
        </w:r>
        <w:r w:rsidR="002A29FE">
          <w:rPr>
            <w:rStyle w:val="Hyperlink"/>
            <w:noProof/>
            <w:rtl/>
          </w:rPr>
        </w:r>
        <w:r w:rsidR="002A29FE">
          <w:rPr>
            <w:rStyle w:val="Hyperlink"/>
            <w:noProof/>
            <w:rtl/>
          </w:rPr>
          <w:fldChar w:fldCharType="separate"/>
        </w:r>
        <w:r w:rsidR="002A29FE">
          <w:rPr>
            <w:noProof/>
            <w:webHidden/>
          </w:rPr>
          <w:t>3</w:t>
        </w:r>
        <w:r w:rsidR="002A29FE">
          <w:rPr>
            <w:rStyle w:val="Hyperlink"/>
            <w:noProof/>
            <w:rtl/>
          </w:rPr>
          <w:fldChar w:fldCharType="end"/>
        </w:r>
      </w:hyperlink>
    </w:p>
    <w:p w:rsidR="002A29FE" w:rsidRDefault="00A4311A" w:rsidP="002A29FE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933264" w:history="1"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پاسخ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از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استدلال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فوق</w:t>
        </w:r>
        <w:r w:rsidR="002A29FE">
          <w:rPr>
            <w:noProof/>
            <w:webHidden/>
          </w:rPr>
          <w:tab/>
        </w:r>
        <w:r w:rsidR="002A29FE">
          <w:rPr>
            <w:rStyle w:val="Hyperlink"/>
            <w:noProof/>
            <w:rtl/>
          </w:rPr>
          <w:fldChar w:fldCharType="begin"/>
        </w:r>
        <w:r w:rsidR="002A29FE">
          <w:rPr>
            <w:noProof/>
            <w:webHidden/>
          </w:rPr>
          <w:instrText xml:space="preserve"> PAGEREF _Toc425933264 \h </w:instrText>
        </w:r>
        <w:r w:rsidR="002A29FE">
          <w:rPr>
            <w:rStyle w:val="Hyperlink"/>
            <w:noProof/>
            <w:rtl/>
          </w:rPr>
        </w:r>
        <w:r w:rsidR="002A29FE">
          <w:rPr>
            <w:rStyle w:val="Hyperlink"/>
            <w:noProof/>
            <w:rtl/>
          </w:rPr>
          <w:fldChar w:fldCharType="separate"/>
        </w:r>
        <w:r w:rsidR="002A29FE">
          <w:rPr>
            <w:noProof/>
            <w:webHidden/>
          </w:rPr>
          <w:t>4</w:t>
        </w:r>
        <w:r w:rsidR="002A29FE">
          <w:rPr>
            <w:rStyle w:val="Hyperlink"/>
            <w:noProof/>
            <w:rtl/>
          </w:rPr>
          <w:fldChar w:fldCharType="end"/>
        </w:r>
      </w:hyperlink>
    </w:p>
    <w:p w:rsidR="002A29FE" w:rsidRDefault="00A4311A" w:rsidP="002A29FE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933265" w:history="1"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نت</w:t>
        </w:r>
        <w:r w:rsidR="002A29FE" w:rsidRPr="00720936">
          <w:rPr>
            <w:rStyle w:val="Hyperlink"/>
            <w:rFonts w:ascii="IRBadr" w:hAnsi="IRBadr" w:cs="IRBadr" w:hint="cs"/>
            <w:noProof/>
            <w:rtl/>
          </w:rPr>
          <w:t>ی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جه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گ</w:t>
        </w:r>
        <w:r w:rsidR="002A29FE" w:rsidRPr="00720936">
          <w:rPr>
            <w:rStyle w:val="Hyperlink"/>
            <w:rFonts w:ascii="IRBadr" w:hAnsi="IRBadr" w:cs="IRBadr" w:hint="cs"/>
            <w:noProof/>
            <w:rtl/>
          </w:rPr>
          <w:t>ی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ر</w:t>
        </w:r>
        <w:r w:rsidR="002A29FE" w:rsidRPr="00720936">
          <w:rPr>
            <w:rStyle w:val="Hyperlink"/>
            <w:rFonts w:ascii="IRBadr" w:hAnsi="IRBadr" w:cs="IRBadr" w:hint="cs"/>
            <w:noProof/>
            <w:rtl/>
          </w:rPr>
          <w:t>ی</w:t>
        </w:r>
        <w:r w:rsidR="002A29FE">
          <w:rPr>
            <w:noProof/>
            <w:webHidden/>
          </w:rPr>
          <w:tab/>
        </w:r>
        <w:r w:rsidR="002A29FE">
          <w:rPr>
            <w:rStyle w:val="Hyperlink"/>
            <w:noProof/>
            <w:rtl/>
          </w:rPr>
          <w:fldChar w:fldCharType="begin"/>
        </w:r>
        <w:r w:rsidR="002A29FE">
          <w:rPr>
            <w:noProof/>
            <w:webHidden/>
          </w:rPr>
          <w:instrText xml:space="preserve"> PAGEREF _Toc425933265 \h </w:instrText>
        </w:r>
        <w:r w:rsidR="002A29FE">
          <w:rPr>
            <w:rStyle w:val="Hyperlink"/>
            <w:noProof/>
            <w:rtl/>
          </w:rPr>
        </w:r>
        <w:r w:rsidR="002A29FE">
          <w:rPr>
            <w:rStyle w:val="Hyperlink"/>
            <w:noProof/>
            <w:rtl/>
          </w:rPr>
          <w:fldChar w:fldCharType="separate"/>
        </w:r>
        <w:r w:rsidR="002A29FE">
          <w:rPr>
            <w:noProof/>
            <w:webHidden/>
          </w:rPr>
          <w:t>4</w:t>
        </w:r>
        <w:r w:rsidR="002A29FE">
          <w:rPr>
            <w:rStyle w:val="Hyperlink"/>
            <w:noProof/>
            <w:rtl/>
          </w:rPr>
          <w:fldChar w:fldCharType="end"/>
        </w:r>
      </w:hyperlink>
    </w:p>
    <w:p w:rsidR="002A29FE" w:rsidRDefault="00A4311A" w:rsidP="002A29FE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933266" w:history="1"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اتخاذ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مبنا</w:t>
        </w:r>
        <w:r w:rsidR="002A29FE">
          <w:rPr>
            <w:noProof/>
            <w:webHidden/>
          </w:rPr>
          <w:tab/>
        </w:r>
        <w:r w:rsidR="002A29FE">
          <w:rPr>
            <w:rStyle w:val="Hyperlink"/>
            <w:noProof/>
            <w:rtl/>
          </w:rPr>
          <w:fldChar w:fldCharType="begin"/>
        </w:r>
        <w:r w:rsidR="002A29FE">
          <w:rPr>
            <w:noProof/>
            <w:webHidden/>
          </w:rPr>
          <w:instrText xml:space="preserve"> PAGEREF _Toc425933266 \h </w:instrText>
        </w:r>
        <w:r w:rsidR="002A29FE">
          <w:rPr>
            <w:rStyle w:val="Hyperlink"/>
            <w:noProof/>
            <w:rtl/>
          </w:rPr>
        </w:r>
        <w:r w:rsidR="002A29FE">
          <w:rPr>
            <w:rStyle w:val="Hyperlink"/>
            <w:noProof/>
            <w:rtl/>
          </w:rPr>
          <w:fldChar w:fldCharType="separate"/>
        </w:r>
        <w:r w:rsidR="002A29FE">
          <w:rPr>
            <w:noProof/>
            <w:webHidden/>
          </w:rPr>
          <w:t>4</w:t>
        </w:r>
        <w:r w:rsidR="002A29FE">
          <w:rPr>
            <w:rStyle w:val="Hyperlink"/>
            <w:noProof/>
            <w:rtl/>
          </w:rPr>
          <w:fldChar w:fldCharType="end"/>
        </w:r>
      </w:hyperlink>
    </w:p>
    <w:p w:rsidR="002A29FE" w:rsidRDefault="00A4311A" w:rsidP="002A29FE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933267" w:history="1"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معنا</w:t>
        </w:r>
        <w:r w:rsidR="002A29FE" w:rsidRPr="00720936">
          <w:rPr>
            <w:rStyle w:val="Hyperlink"/>
            <w:rFonts w:ascii="IRBadr" w:hAnsi="IRBadr" w:cs="IRBadr" w:hint="cs"/>
            <w:noProof/>
            <w:rtl/>
          </w:rPr>
          <w:t>ی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«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مثل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فعله»</w:t>
        </w:r>
        <w:r w:rsidR="002A29FE">
          <w:rPr>
            <w:noProof/>
            <w:webHidden/>
          </w:rPr>
          <w:tab/>
        </w:r>
        <w:r w:rsidR="002A29FE">
          <w:rPr>
            <w:rStyle w:val="Hyperlink"/>
            <w:noProof/>
            <w:rtl/>
          </w:rPr>
          <w:fldChar w:fldCharType="begin"/>
        </w:r>
        <w:r w:rsidR="002A29FE">
          <w:rPr>
            <w:noProof/>
            <w:webHidden/>
          </w:rPr>
          <w:instrText xml:space="preserve"> PAGEREF _Toc425933267 \h </w:instrText>
        </w:r>
        <w:r w:rsidR="002A29FE">
          <w:rPr>
            <w:rStyle w:val="Hyperlink"/>
            <w:noProof/>
            <w:rtl/>
          </w:rPr>
        </w:r>
        <w:r w:rsidR="002A29FE">
          <w:rPr>
            <w:rStyle w:val="Hyperlink"/>
            <w:noProof/>
            <w:rtl/>
          </w:rPr>
          <w:fldChar w:fldCharType="separate"/>
        </w:r>
        <w:r w:rsidR="002A29FE">
          <w:rPr>
            <w:noProof/>
            <w:webHidden/>
          </w:rPr>
          <w:t>4</w:t>
        </w:r>
        <w:r w:rsidR="002A29FE">
          <w:rPr>
            <w:rStyle w:val="Hyperlink"/>
            <w:noProof/>
            <w:rtl/>
          </w:rPr>
          <w:fldChar w:fldCharType="end"/>
        </w:r>
      </w:hyperlink>
    </w:p>
    <w:p w:rsidR="002A29FE" w:rsidRDefault="00A4311A" w:rsidP="002A29FE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5933268" w:history="1"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اتخاذ</w:t>
        </w:r>
        <w:r w:rsidR="002A29FE" w:rsidRPr="00720936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A29FE" w:rsidRPr="00720936">
          <w:rPr>
            <w:rStyle w:val="Hyperlink"/>
            <w:rFonts w:ascii="IRBadr" w:hAnsi="IRBadr" w:cs="IRBadr" w:hint="eastAsia"/>
            <w:noProof/>
            <w:rtl/>
          </w:rPr>
          <w:t>مبنا</w:t>
        </w:r>
        <w:r w:rsidR="002A29FE">
          <w:rPr>
            <w:noProof/>
            <w:webHidden/>
          </w:rPr>
          <w:tab/>
        </w:r>
        <w:r w:rsidR="002A29FE">
          <w:rPr>
            <w:rStyle w:val="Hyperlink"/>
            <w:noProof/>
            <w:rtl/>
          </w:rPr>
          <w:fldChar w:fldCharType="begin"/>
        </w:r>
        <w:r w:rsidR="002A29FE">
          <w:rPr>
            <w:noProof/>
            <w:webHidden/>
          </w:rPr>
          <w:instrText xml:space="preserve"> PAGEREF _Toc425933268 \h </w:instrText>
        </w:r>
        <w:r w:rsidR="002A29FE">
          <w:rPr>
            <w:rStyle w:val="Hyperlink"/>
            <w:noProof/>
            <w:rtl/>
          </w:rPr>
        </w:r>
        <w:r w:rsidR="002A29FE">
          <w:rPr>
            <w:rStyle w:val="Hyperlink"/>
            <w:noProof/>
            <w:rtl/>
          </w:rPr>
          <w:fldChar w:fldCharType="separate"/>
        </w:r>
        <w:r w:rsidR="002A29FE">
          <w:rPr>
            <w:noProof/>
            <w:webHidden/>
          </w:rPr>
          <w:t>5</w:t>
        </w:r>
        <w:r w:rsidR="002A29FE">
          <w:rPr>
            <w:rStyle w:val="Hyperlink"/>
            <w:noProof/>
            <w:rtl/>
          </w:rPr>
          <w:fldChar w:fldCharType="end"/>
        </w:r>
      </w:hyperlink>
    </w:p>
    <w:p w:rsidR="002A29FE" w:rsidRPr="002A29FE" w:rsidRDefault="002A29FE" w:rsidP="002A29FE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fldChar w:fldCharType="end"/>
      </w:r>
    </w:p>
    <w:p w:rsidR="00CD7940" w:rsidRPr="002A29FE" w:rsidRDefault="00CD7940" w:rsidP="000E6766">
      <w:pPr>
        <w:pStyle w:val="Heading1"/>
        <w:rPr>
          <w:rFonts w:ascii="IRBadr" w:hAnsi="IRBadr" w:cs="IRBadr"/>
          <w:color w:val="000000" w:themeColor="text1"/>
          <w:rtl/>
        </w:rPr>
      </w:pPr>
      <w:bookmarkStart w:id="1" w:name="_Toc425933252"/>
      <w:r w:rsidRPr="002A29FE">
        <w:rPr>
          <w:rFonts w:ascii="IRBadr" w:hAnsi="IRBadr" w:cs="IRBadr"/>
          <w:color w:val="000000" w:themeColor="text1"/>
          <w:rtl/>
        </w:rPr>
        <w:lastRenderedPageBreak/>
        <w:t>مشارکت مستحق حد</w:t>
      </w:r>
      <w:bookmarkEnd w:id="1"/>
    </w:p>
    <w:p w:rsidR="00CD7940" w:rsidRPr="002A29FE" w:rsidRDefault="00CD7940" w:rsidP="000E6766">
      <w:pPr>
        <w:pStyle w:val="Heading1"/>
        <w:rPr>
          <w:rFonts w:ascii="IRBadr" w:hAnsi="IRBadr" w:cs="IRBadr"/>
          <w:color w:val="000000" w:themeColor="text1"/>
          <w:rtl/>
        </w:rPr>
      </w:pPr>
      <w:bookmarkStart w:id="2" w:name="_Toc425933253"/>
      <w:r w:rsidRPr="002A29FE">
        <w:rPr>
          <w:rFonts w:ascii="IRBadr" w:hAnsi="IRBadr" w:cs="IRBadr"/>
          <w:color w:val="000000" w:themeColor="text1"/>
          <w:rtl/>
        </w:rPr>
        <w:t>مرور بحث گذشته</w:t>
      </w:r>
      <w:bookmarkEnd w:id="2"/>
    </w:p>
    <w:p w:rsidR="00CD7940" w:rsidRPr="002A29FE" w:rsidRDefault="00CD7940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موضوع بحث این بود که اگر کسی خود،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مستحق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حدی از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حدودالله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باشد،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آیا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می‌تواند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رجم مشارکت داشته باشد؟</w:t>
      </w:r>
    </w:p>
    <w:p w:rsidR="00CD7940" w:rsidRPr="002A29FE" w:rsidRDefault="00CD7940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روایات در این مقام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موردبررس</w:t>
      </w:r>
      <w:r w:rsidR="00F943A1"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قرار گرفت،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نت</w:t>
      </w:r>
      <w:r w:rsidR="00F943A1"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یجه‌ای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 در بحث پیشین گرفته شد،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بد</w:t>
      </w:r>
      <w:r w:rsidR="00F943A1"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ین‌صورت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بود که؛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کسی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 حدی بر گردن اوست،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495996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جایز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نیست که در اقامه حد شرکت داشته باشد. روایات از منظری به سه طایفه تقسیم شدند.</w:t>
      </w:r>
    </w:p>
    <w:p w:rsidR="00CD7940" w:rsidRPr="002A29FE" w:rsidRDefault="00CD7940" w:rsidP="000E6766">
      <w:pPr>
        <w:pStyle w:val="Heading2"/>
        <w:rPr>
          <w:rFonts w:ascii="IRBadr" w:hAnsi="IRBadr" w:cs="IRBadr"/>
          <w:color w:val="000000" w:themeColor="text1"/>
          <w:rtl/>
        </w:rPr>
      </w:pPr>
      <w:bookmarkStart w:id="3" w:name="_Toc425933254"/>
      <w:r w:rsidRPr="002A29FE">
        <w:rPr>
          <w:rFonts w:ascii="IRBadr" w:hAnsi="IRBadr" w:cs="IRBadr"/>
          <w:color w:val="000000" w:themeColor="text1"/>
          <w:rtl/>
        </w:rPr>
        <w:t>تعمیم یا تحدید بحث</w:t>
      </w:r>
      <w:bookmarkEnd w:id="3"/>
    </w:p>
    <w:p w:rsidR="00CD7940" w:rsidRPr="002A29FE" w:rsidRDefault="00CD7940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فرعی که برخی همانند آقای گلپایگانی و صاحب جواهر بدان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پرداخته‌اند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است که؛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آیا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مطلب بحث شده اختصاص به باب رجم دارد یا سایر حدود را دربر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می‌گیرد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؟</w:t>
      </w:r>
    </w:p>
    <w:p w:rsidR="00CD7940" w:rsidRPr="002A29FE" w:rsidRDefault="00CD7940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قبل از پرداختن به جواب،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باید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نکته‌ا</w:t>
      </w:r>
      <w:r w:rsidR="00F943A1"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حل شود که مراد از مشارکت در اینجا،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همکاری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اجرای حد است و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به‌ه</w:t>
      </w:r>
      <w:r w:rsidR="00F943A1"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یچ‌وجه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مراد تماشا کردن نخواهد بود. این توجه وجود دارد که در سایر حدود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معمولاً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مجری یک نفر است،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جواب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سؤال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مطرح‌شده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تقریباً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روشن است و جواب این است که بله،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سایر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حدود را نیز دربر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می‌گیرد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</w:p>
    <w:p w:rsidR="00CD7940" w:rsidRPr="002A29FE" w:rsidRDefault="00CD7940" w:rsidP="000E6766">
      <w:pPr>
        <w:pStyle w:val="Heading2"/>
        <w:rPr>
          <w:rFonts w:ascii="IRBadr" w:hAnsi="IRBadr" w:cs="IRBadr"/>
          <w:color w:val="000000" w:themeColor="text1"/>
          <w:rtl/>
        </w:rPr>
      </w:pPr>
      <w:bookmarkStart w:id="4" w:name="_Toc425933255"/>
      <w:r w:rsidRPr="002A29FE">
        <w:rPr>
          <w:rFonts w:ascii="IRBadr" w:hAnsi="IRBadr" w:cs="IRBadr"/>
          <w:color w:val="000000" w:themeColor="text1"/>
          <w:rtl/>
        </w:rPr>
        <w:t>علیت حکم</w:t>
      </w:r>
      <w:bookmarkEnd w:id="4"/>
    </w:p>
    <w:p w:rsidR="00CD7940" w:rsidRPr="002A29FE" w:rsidRDefault="00F943A1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قاعده‌ا</w:t>
      </w:r>
      <w:r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</w:t>
      </w:r>
      <w:r w:rsidR="00CD7940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بیان شد که کسی که حدی از </w:t>
      </w:r>
      <w:r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حدودالله</w:t>
      </w:r>
      <w:r w:rsidR="00CD7940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 ذمه اوست،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حد</w:t>
      </w:r>
      <w:r w:rsidR="00CD7940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را اقامه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نمی‌کند</w:t>
      </w:r>
      <w:r w:rsidR="00CD7940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</w:t>
      </w:r>
      <w:r w:rsidR="00A9759B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اینجا </w:t>
      </w:r>
      <w:r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همان‌طور</w:t>
      </w:r>
      <w:r w:rsidR="00A9759B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 مشخص است،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اختصاص</w:t>
      </w:r>
      <w:r w:rsidR="00A9759B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به حدی دون دیگری </w:t>
      </w:r>
      <w:r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مشاهده</w:t>
      </w:r>
      <w:r w:rsidR="00A9759B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نمی‌شود</w:t>
      </w:r>
      <w:r w:rsidR="00A9759B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 پس حد چه در قبال شرب خمر،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چه</w:t>
      </w:r>
      <w:r w:rsidR="00A9759B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زنا و ...باشد،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حکم</w:t>
      </w:r>
      <w:r w:rsidR="00A9759B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</w:t>
      </w:r>
      <w:r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یان‌شده</w:t>
      </w:r>
      <w:r w:rsidR="00A9759B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آن را دربر خواهد گرفت. و ثانیاً اینکه حکم </w:t>
      </w:r>
      <w:r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</w:t>
      </w:r>
      <w:r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یان‌شده</w:t>
      </w:r>
      <w:r w:rsidR="00A9759B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مربوط به اجراست و </w:t>
      </w:r>
      <w:r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به‌ه</w:t>
      </w:r>
      <w:r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یچ‌وجه</w:t>
      </w:r>
      <w:r w:rsidR="00A9759B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حضور را دربر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نمی‌گیرد</w:t>
      </w:r>
      <w:r w:rsidR="00A9759B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</w:p>
    <w:p w:rsidR="00A9759B" w:rsidRPr="002A29FE" w:rsidRDefault="00A9759B" w:rsidP="000E6766">
      <w:pPr>
        <w:pStyle w:val="Heading3"/>
        <w:rPr>
          <w:rFonts w:ascii="IRBadr" w:hAnsi="IRBadr" w:cs="IRBadr"/>
          <w:color w:val="000000" w:themeColor="text1"/>
          <w:rtl/>
        </w:rPr>
      </w:pPr>
      <w:bookmarkStart w:id="5" w:name="_Toc425933256"/>
      <w:r w:rsidRPr="002A29FE">
        <w:rPr>
          <w:rFonts w:ascii="IRBadr" w:hAnsi="IRBadr" w:cs="IRBadr"/>
          <w:color w:val="000000" w:themeColor="text1"/>
          <w:rtl/>
        </w:rPr>
        <w:t>شمول تعزیرات در این مقام</w:t>
      </w:r>
      <w:bookmarkEnd w:id="5"/>
    </w:p>
    <w:p w:rsidR="00A9759B" w:rsidRPr="002A29FE" w:rsidRDefault="00A9759B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سؤال دیگری که در این زمینه وجود دارد،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است که این حکم مختص به حدود است یا تعزیرات را هم دربر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می‌گیرد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؟</w:t>
      </w:r>
    </w:p>
    <w:p w:rsidR="00A9759B" w:rsidRPr="002A29FE" w:rsidRDefault="00A9759B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در این جهت،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روایت اجمال وجود دارد،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همان‌طور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 بیان شد،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گاهی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است که لفظ حد به کار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می‌رود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 از آن تعزیر نیز قصد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 گاهی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بد</w:t>
      </w:r>
      <w:r w:rsidR="00F943A1"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ین‌صورت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نیست،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یعنی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اصطلاح خاص خود که در مقابل تعزیر است به کار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می‌رود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لذا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اینجا در بین معنای خاص و عام آن تردید و اجمال وجود دارد، علاوه بر آن،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مقام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نیز خالی از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قر</w:t>
      </w:r>
      <w:r w:rsidR="00F943A1"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ینه‌ای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است که </w:t>
      </w:r>
      <w:r w:rsidR="00F943A1"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یک‌طرف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را تعیین کند.</w:t>
      </w:r>
    </w:p>
    <w:p w:rsidR="00A9759B" w:rsidRPr="002A29FE" w:rsidRDefault="00A9759B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lastRenderedPageBreak/>
        <w:t xml:space="preserve">هرچند با توجه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به‌قاعده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 که بیان شد،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ممکن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است بگوییم در اینجا فرقی وجود ندارد و حدود به معنای عام آن یعنی تعزیرات را هم دربر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می‌گیرد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حصول اطمینان به یکی از دو طرف قدری مشکل است.</w:t>
      </w:r>
    </w:p>
    <w:p w:rsidR="00A9759B" w:rsidRPr="002A29FE" w:rsidRDefault="00F943A1" w:rsidP="000E6766">
      <w:pPr>
        <w:pStyle w:val="Heading3"/>
        <w:rPr>
          <w:rFonts w:ascii="IRBadr" w:hAnsi="IRBadr" w:cs="IRBadr"/>
          <w:color w:val="000000" w:themeColor="text1"/>
          <w:rtl/>
        </w:rPr>
      </w:pPr>
      <w:r>
        <w:rPr>
          <w:rFonts w:ascii="IRBadr" w:hAnsi="IRBadr" w:cs="IRBadr"/>
          <w:color w:val="000000" w:themeColor="text1"/>
          <w:rtl/>
        </w:rPr>
        <w:t>نت</w:t>
      </w:r>
      <w:r>
        <w:rPr>
          <w:rFonts w:ascii="IRBadr" w:hAnsi="IRBadr" w:cs="IRBadr" w:hint="cs"/>
          <w:color w:val="000000" w:themeColor="text1"/>
          <w:rtl/>
        </w:rPr>
        <w:t>ی</w:t>
      </w:r>
      <w:r>
        <w:rPr>
          <w:rFonts w:ascii="IRBadr" w:hAnsi="IRBadr" w:cs="IRBadr" w:hint="eastAsia"/>
          <w:color w:val="000000" w:themeColor="text1"/>
          <w:rtl/>
        </w:rPr>
        <w:t>جه‌گ</w:t>
      </w:r>
      <w:r>
        <w:rPr>
          <w:rFonts w:ascii="IRBadr" w:hAnsi="IRBadr" w:cs="IRBadr" w:hint="cs"/>
          <w:color w:val="000000" w:themeColor="text1"/>
          <w:rtl/>
        </w:rPr>
        <w:t>ی</w:t>
      </w:r>
      <w:r>
        <w:rPr>
          <w:rFonts w:ascii="IRBadr" w:hAnsi="IRBadr" w:cs="IRBadr" w:hint="eastAsia"/>
          <w:color w:val="000000" w:themeColor="text1"/>
          <w:rtl/>
        </w:rPr>
        <w:t>ر</w:t>
      </w:r>
      <w:r>
        <w:rPr>
          <w:rFonts w:ascii="IRBadr" w:hAnsi="IRBadr" w:cs="IRBadr" w:hint="cs"/>
          <w:color w:val="000000" w:themeColor="text1"/>
          <w:rtl/>
        </w:rPr>
        <w:t>ی</w:t>
      </w:r>
    </w:p>
    <w:p w:rsidR="00A9759B" w:rsidRPr="002A29FE" w:rsidRDefault="00A9759B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نتیجه این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 چون در این مقام اجمال وجود دارد،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باید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قدر متیقن را اخذ </w:t>
      </w:r>
      <w:r w:rsidR="00A72FAB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نمود و قدر متیقن در این بحث،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تنها</w:t>
      </w:r>
      <w:r w:rsidR="00A72FAB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حدود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هست</w:t>
      </w:r>
      <w:r w:rsidR="00A72FAB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</w:p>
    <w:p w:rsidR="00A72FAB" w:rsidRPr="002A29FE" w:rsidRDefault="00A72FAB" w:rsidP="000E6766">
      <w:pPr>
        <w:pStyle w:val="Heading4"/>
        <w:ind w:firstLine="0"/>
        <w:rPr>
          <w:rFonts w:ascii="IRBadr" w:hAnsi="IRBadr" w:cs="IRBadr"/>
          <w:color w:val="000000" w:themeColor="text1"/>
          <w:rtl/>
        </w:rPr>
      </w:pPr>
      <w:bookmarkStart w:id="6" w:name="_Toc425933258"/>
      <w:r w:rsidRPr="002A29FE">
        <w:rPr>
          <w:rFonts w:ascii="IRBadr" w:hAnsi="IRBadr" w:cs="IRBadr"/>
          <w:color w:val="000000" w:themeColor="text1"/>
          <w:rtl/>
        </w:rPr>
        <w:t>فرض اجرا در صورت توبه یا اجرای حد</w:t>
      </w:r>
      <w:bookmarkEnd w:id="6"/>
    </w:p>
    <w:p w:rsidR="00A72FAB" w:rsidRPr="002A29FE" w:rsidRDefault="00A72FAB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فرع دیگری که در اینجا شکل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می‌گیرد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است که اگر فردی توبه نمود،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یا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حد بر او جاری شد،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آیا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می‌تواند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اجرای حد شرکت داشته باشد؟ دو احتمال در این زمینه وجود دارد.</w:t>
      </w:r>
    </w:p>
    <w:p w:rsidR="00A72FAB" w:rsidRPr="002A29FE" w:rsidRDefault="00A72FAB" w:rsidP="000E6766">
      <w:pPr>
        <w:pStyle w:val="Heading4"/>
        <w:ind w:firstLine="0"/>
        <w:rPr>
          <w:rFonts w:ascii="IRBadr" w:hAnsi="IRBadr" w:cs="IRBadr"/>
          <w:color w:val="000000" w:themeColor="text1"/>
          <w:rtl/>
        </w:rPr>
      </w:pPr>
      <w:bookmarkStart w:id="7" w:name="_Toc425933259"/>
      <w:r w:rsidRPr="002A29FE">
        <w:rPr>
          <w:rFonts w:ascii="IRBadr" w:hAnsi="IRBadr" w:cs="IRBadr"/>
          <w:color w:val="000000" w:themeColor="text1"/>
          <w:rtl/>
        </w:rPr>
        <w:t>احتمال اول</w:t>
      </w:r>
      <w:bookmarkEnd w:id="7"/>
    </w:p>
    <w:p w:rsidR="00A72FAB" w:rsidRPr="002A29FE" w:rsidRDefault="00F943A1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بنابرا</w:t>
      </w:r>
      <w:r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ین</w:t>
      </w:r>
      <w:r w:rsidR="00A72FAB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احتمال که فرد با استحقاق حد،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تا</w:t>
      </w:r>
      <w:r w:rsidR="00A72FAB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ابد از اجرای حد محروم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A72FAB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، اجرای حد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مطلقاً</w:t>
      </w:r>
      <w:r w:rsidR="00A72FAB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برای او </w:t>
      </w:r>
      <w:r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جا</w:t>
      </w:r>
      <w:r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یز</w:t>
      </w:r>
      <w:r w:rsidR="00A72FAB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نخواهد بود.</w:t>
      </w:r>
    </w:p>
    <w:p w:rsidR="00A72FAB" w:rsidRPr="002A29FE" w:rsidRDefault="00A72FAB" w:rsidP="000E6766">
      <w:pPr>
        <w:pStyle w:val="Heading4"/>
        <w:ind w:firstLine="0"/>
        <w:rPr>
          <w:rFonts w:ascii="IRBadr" w:hAnsi="IRBadr" w:cs="IRBadr"/>
          <w:color w:val="000000" w:themeColor="text1"/>
          <w:rtl/>
        </w:rPr>
      </w:pPr>
      <w:bookmarkStart w:id="8" w:name="_Toc425933260"/>
      <w:r w:rsidRPr="002A29FE">
        <w:rPr>
          <w:rFonts w:ascii="IRBadr" w:hAnsi="IRBadr" w:cs="IRBadr"/>
          <w:color w:val="000000" w:themeColor="text1"/>
          <w:rtl/>
        </w:rPr>
        <w:t>احتمال دوم</w:t>
      </w:r>
      <w:bookmarkEnd w:id="8"/>
    </w:p>
    <w:p w:rsidR="00A72FAB" w:rsidRPr="002A29FE" w:rsidRDefault="00A72FAB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اما در احتمال دیگر که اگر توبه کرد یا حد بر او جاری شد،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دیگر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از تبعات آن خارج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پاسخ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خواهد بود که او در صورت هرکدام از این دو حالت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می‌تواند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از مقیمین حد باشد.</w:t>
      </w:r>
    </w:p>
    <w:p w:rsidR="00A72FAB" w:rsidRPr="002A29FE" w:rsidRDefault="00A72FAB" w:rsidP="000E6766">
      <w:pPr>
        <w:pStyle w:val="Heading4"/>
        <w:ind w:firstLine="0"/>
        <w:rPr>
          <w:rFonts w:ascii="IRBadr" w:hAnsi="IRBadr" w:cs="IRBadr"/>
          <w:color w:val="000000" w:themeColor="text1"/>
          <w:rtl/>
        </w:rPr>
      </w:pPr>
      <w:bookmarkStart w:id="9" w:name="_Toc425933261"/>
      <w:r w:rsidRPr="002A29FE">
        <w:rPr>
          <w:rFonts w:ascii="IRBadr" w:hAnsi="IRBadr" w:cs="IRBadr"/>
          <w:color w:val="000000" w:themeColor="text1"/>
          <w:rtl/>
        </w:rPr>
        <w:t>شرط عدالت</w:t>
      </w:r>
      <w:bookmarkEnd w:id="9"/>
    </w:p>
    <w:p w:rsidR="00A72FAB" w:rsidRPr="002A29FE" w:rsidRDefault="00A72FAB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اگر کسی ادعا کند که در اجرای حد،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عدالت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شرط است،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به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او گفته خواهد شد که؛ در اینجا بحث عدالت در عناوین مطرح نشده است.</w:t>
      </w:r>
    </w:p>
    <w:p w:rsidR="00A72FAB" w:rsidRPr="002A29FE" w:rsidRDefault="00A72FAB" w:rsidP="000E6766">
      <w:pPr>
        <w:pStyle w:val="Heading4"/>
        <w:ind w:firstLine="0"/>
        <w:rPr>
          <w:rFonts w:ascii="IRBadr" w:hAnsi="IRBadr" w:cs="IRBadr"/>
          <w:color w:val="000000" w:themeColor="text1"/>
          <w:rtl/>
        </w:rPr>
      </w:pPr>
      <w:bookmarkStart w:id="10" w:name="_Toc425933262"/>
      <w:r w:rsidRPr="002A29FE">
        <w:rPr>
          <w:rFonts w:ascii="IRBadr" w:hAnsi="IRBadr" w:cs="IRBadr"/>
          <w:color w:val="000000" w:themeColor="text1"/>
          <w:rtl/>
        </w:rPr>
        <w:t>مبانی در حکم توبه</w:t>
      </w:r>
      <w:bookmarkEnd w:id="10"/>
    </w:p>
    <w:p w:rsidR="00A72FAB" w:rsidRPr="002A29FE" w:rsidRDefault="00A72FAB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مشهور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باشهرت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عظیمه خود قائل است که؛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اگر</w:t>
      </w:r>
      <w:r w:rsidR="009D7FB9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فرد توبه کند،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حکم</w:t>
      </w:r>
      <w:r w:rsidR="009D7FB9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عدم جواز ساقط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9D7FB9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 صاحب جواهر عقیده دارند ممکن است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باوجود</w:t>
      </w:r>
      <w:r w:rsidR="009D7FB9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توبه نیز ساقط نشود.</w:t>
      </w:r>
    </w:p>
    <w:p w:rsidR="009D7FB9" w:rsidRPr="002A29FE" w:rsidRDefault="009D7FB9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مبانی این اختلاف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برم</w:t>
      </w:r>
      <w:r w:rsidR="00F943A1"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ی‌گردد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به تعابیری که در روایات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واردشده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است؛</w:t>
      </w:r>
    </w:p>
    <w:p w:rsidR="009D7FB9" w:rsidRPr="002A29FE" w:rsidRDefault="009D7FB9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lastRenderedPageBreak/>
        <w:t xml:space="preserve">یک تعبیر این بود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که «</w:t>
      </w:r>
      <w:r w:rsidR="000E6766" w:rsidRPr="002A29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لَا یقِیمُ الْحَدَّ مَنْ لِلَّهِ عَلَیهِ حَدٌّ»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0E6766" w:rsidRPr="002A29FE">
        <w:rPr>
          <w:rStyle w:val="FootnoteReference"/>
          <w:rFonts w:ascii="IRBadr" w:hAnsi="IRBadr" w:cs="IRBadr"/>
          <w:color w:val="000000" w:themeColor="text1"/>
          <w:sz w:val="28"/>
          <w:szCs w:val="28"/>
          <w:rtl/>
          <w:lang w:bidi="fa-IR"/>
        </w:rPr>
        <w:footnoteReference w:id="1"/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. 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در روایت سوم تعبیر متفاوت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؛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«</w:t>
      </w:r>
      <w:r w:rsidR="000E6766" w:rsidRPr="002A29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لَا یقِیمُ حُدُودَ اللَّهِ مَنْ فِی عُنُقِهِ لِلَّهِ» </w:t>
      </w:r>
      <w:r w:rsidR="000E6766" w:rsidRPr="002A29FE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  <w:r w:rsidR="000E6766" w:rsidRPr="002A29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س وجه برای مشهور این است که با توبه و یا اجرای حد بر فرد، آن حقی که از طرف خداوند بر ذمه او بوده از بین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می‌رود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</w:p>
    <w:p w:rsidR="009D7FB9" w:rsidRPr="002A29FE" w:rsidRDefault="009D7FB9" w:rsidP="000E6766">
      <w:pPr>
        <w:pStyle w:val="Heading4"/>
        <w:ind w:firstLine="0"/>
        <w:rPr>
          <w:rFonts w:ascii="IRBadr" w:hAnsi="IRBadr" w:cs="IRBadr"/>
          <w:color w:val="000000" w:themeColor="text1"/>
          <w:rtl/>
        </w:rPr>
      </w:pPr>
      <w:bookmarkStart w:id="11" w:name="_Toc425933263"/>
      <w:r w:rsidRPr="002A29FE">
        <w:rPr>
          <w:rFonts w:ascii="IRBadr" w:hAnsi="IRBadr" w:cs="IRBadr"/>
          <w:color w:val="000000" w:themeColor="text1"/>
          <w:rtl/>
        </w:rPr>
        <w:t>مبنای قول دوم</w:t>
      </w:r>
      <w:bookmarkEnd w:id="11"/>
    </w:p>
    <w:p w:rsidR="009D7FB9" w:rsidRPr="002A29FE" w:rsidRDefault="009D7FB9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در روایت دیگری وجود داشت که؛</w:t>
      </w:r>
    </w:p>
    <w:p w:rsidR="000E6766" w:rsidRPr="002A29FE" w:rsidRDefault="000E6766" w:rsidP="000E6766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2A29FE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«مَنْ فَعَلَ مِثْلَ فِعْلِهِ فَلَا یرْجُمْهُ وَلْینْصَرِفْ»</w:t>
      </w:r>
      <w:r w:rsidRPr="002A29FE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DC5F2F" w:rsidRPr="002A29FE" w:rsidRDefault="00DC5F2F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در اینجا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همان‌طور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 مشاهده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اطلاق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وجود دارد و روایت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می‌فرماید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اگر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حق و حد الهی بر ذمه او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ثابت‌شده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بود،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مطلقاً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نباید در اجرای حد شرکت داشته باشد.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روایت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ام</w:t>
      </w:r>
      <w:r w:rsidR="00F943A1"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یرالمؤمنین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(ع) نیز ملاحظه شد که بیشتر مردم از مراسم منصرف شدند،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چراکه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حضرت فرموده بود؛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درحال</w:t>
      </w:r>
      <w:r w:rsidR="00F943A1"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ی‌که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توبه امر سهلی است و برداشت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آن‌ها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از کلام امام همین بوده است که جملگی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ازآنجا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منصرف شده و برگشتند.</w:t>
      </w:r>
    </w:p>
    <w:p w:rsidR="00DC5F2F" w:rsidRPr="002A29FE" w:rsidRDefault="00DC5F2F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بنابراین،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نیز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می‌تواند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مؤیدی برای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احتمال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دوم باشد.</w:t>
      </w:r>
    </w:p>
    <w:p w:rsidR="00DC5F2F" w:rsidRPr="002A29FE" w:rsidRDefault="00DC5F2F" w:rsidP="000E6766">
      <w:pPr>
        <w:pStyle w:val="Heading4"/>
        <w:ind w:firstLine="0"/>
        <w:rPr>
          <w:rFonts w:ascii="IRBadr" w:hAnsi="IRBadr" w:cs="IRBadr"/>
          <w:color w:val="000000" w:themeColor="text1"/>
          <w:rtl/>
        </w:rPr>
      </w:pPr>
      <w:bookmarkStart w:id="12" w:name="_Toc425933264"/>
      <w:r w:rsidRPr="002A29FE">
        <w:rPr>
          <w:rFonts w:ascii="IRBadr" w:hAnsi="IRBadr" w:cs="IRBadr"/>
          <w:color w:val="000000" w:themeColor="text1"/>
          <w:rtl/>
        </w:rPr>
        <w:t>پاسخ از استدلال فوق</w:t>
      </w:r>
      <w:bookmarkEnd w:id="12"/>
    </w:p>
    <w:p w:rsidR="00DC5F2F" w:rsidRPr="002A29FE" w:rsidRDefault="00DC5F2F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پاسخی که به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می‌توان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به استدلال فوق داد،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بدین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نحو است که در خود روایت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واردشده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است،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برخی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برگشته و برخی باقی ماندند،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لذا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انصراف جمیعی که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دران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قول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ادعاشده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بود،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وجود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ندارد.</w:t>
      </w:r>
    </w:p>
    <w:p w:rsidR="00DC5F2F" w:rsidRPr="002A29FE" w:rsidRDefault="00F943A1" w:rsidP="000E6766">
      <w:pPr>
        <w:pStyle w:val="Heading4"/>
        <w:ind w:firstLine="0"/>
        <w:rPr>
          <w:rFonts w:ascii="IRBadr" w:hAnsi="IRBadr" w:cs="IRBadr"/>
          <w:color w:val="000000" w:themeColor="text1"/>
          <w:rtl/>
        </w:rPr>
      </w:pPr>
      <w:r>
        <w:rPr>
          <w:rFonts w:ascii="IRBadr" w:hAnsi="IRBadr" w:cs="IRBadr"/>
          <w:color w:val="000000" w:themeColor="text1"/>
          <w:rtl/>
        </w:rPr>
        <w:t>نت</w:t>
      </w:r>
      <w:r>
        <w:rPr>
          <w:rFonts w:ascii="IRBadr" w:hAnsi="IRBadr" w:cs="IRBadr" w:hint="cs"/>
          <w:color w:val="000000" w:themeColor="text1"/>
          <w:rtl/>
        </w:rPr>
        <w:t>ی</w:t>
      </w:r>
      <w:r>
        <w:rPr>
          <w:rFonts w:ascii="IRBadr" w:hAnsi="IRBadr" w:cs="IRBadr" w:hint="eastAsia"/>
          <w:color w:val="000000" w:themeColor="text1"/>
          <w:rtl/>
        </w:rPr>
        <w:t>جه‌گ</w:t>
      </w:r>
      <w:r>
        <w:rPr>
          <w:rFonts w:ascii="IRBadr" w:hAnsi="IRBadr" w:cs="IRBadr" w:hint="cs"/>
          <w:color w:val="000000" w:themeColor="text1"/>
          <w:rtl/>
        </w:rPr>
        <w:t>ی</w:t>
      </w:r>
      <w:r>
        <w:rPr>
          <w:rFonts w:ascii="IRBadr" w:hAnsi="IRBadr" w:cs="IRBadr" w:hint="eastAsia"/>
          <w:color w:val="000000" w:themeColor="text1"/>
          <w:rtl/>
        </w:rPr>
        <w:t>ر</w:t>
      </w:r>
      <w:r>
        <w:rPr>
          <w:rFonts w:ascii="IRBadr" w:hAnsi="IRBadr" w:cs="IRBadr" w:hint="cs"/>
          <w:color w:val="000000" w:themeColor="text1"/>
          <w:rtl/>
        </w:rPr>
        <w:t>ی</w:t>
      </w:r>
    </w:p>
    <w:p w:rsidR="00DC5F2F" w:rsidRPr="002A29FE" w:rsidRDefault="00F943A1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درواقع</w:t>
      </w:r>
      <w:r w:rsidR="00DC5F2F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این مقام،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چهار</w:t>
      </w:r>
      <w:r w:rsidR="00DC5F2F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روایت وجود دارد که با احتمال دوم سازگاری دارد،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</w:t>
      </w:r>
      <w:r w:rsidR="00DC5F2F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قبال روایتی که قائلین به قول دوم بدان تکیه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کرده‌اند</w:t>
      </w:r>
      <w:r w:rsidR="00DC5F2F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باید</w:t>
      </w:r>
      <w:r w:rsidR="00DC5F2F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گفت: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مثلیت</w:t>
      </w:r>
      <w:r w:rsidR="00DC5F2F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مطرح‌شده</w:t>
      </w:r>
      <w:r w:rsidR="00DC5F2F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روایت،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ظهور</w:t>
      </w:r>
      <w:r w:rsidR="00DC5F2F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آنجایی دارد که زنای محصنه اتفاق افتاده است،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بنابرا</w:t>
      </w:r>
      <w:r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ین</w:t>
      </w:r>
      <w:r w:rsidR="00DC5F2F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مواردی که فرد مرتکب زنای محصنه شده باشد، ولو توبه کرده باشد،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تا</w:t>
      </w:r>
      <w:r w:rsidR="00DC5F2F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پایان عمر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نمی‌تواند</w:t>
      </w:r>
      <w:r w:rsidR="00DC5F2F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حدی را اجرا کند.</w:t>
      </w:r>
    </w:p>
    <w:p w:rsidR="00DC5F2F" w:rsidRPr="002A29FE" w:rsidRDefault="005D3F85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و بعید نیست که بگوییم این خصوصیت از زنای محصنه را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نمی‌توانیم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القای خصوصیت کرده و به سایر حدود تسری بدهیم.</w:t>
      </w:r>
    </w:p>
    <w:p w:rsidR="00DC5F2F" w:rsidRPr="002A29FE" w:rsidRDefault="005D3F85" w:rsidP="000E6766">
      <w:pPr>
        <w:pStyle w:val="Heading4"/>
        <w:ind w:firstLine="0"/>
        <w:rPr>
          <w:rFonts w:ascii="IRBadr" w:hAnsi="IRBadr" w:cs="IRBadr"/>
          <w:color w:val="000000" w:themeColor="text1"/>
          <w:rtl/>
        </w:rPr>
      </w:pPr>
      <w:bookmarkStart w:id="13" w:name="_Toc425933266"/>
      <w:r w:rsidRPr="002A29FE">
        <w:rPr>
          <w:rFonts w:ascii="IRBadr" w:hAnsi="IRBadr" w:cs="IRBadr"/>
          <w:color w:val="000000" w:themeColor="text1"/>
          <w:rtl/>
        </w:rPr>
        <w:t>اتخاذ مبنا</w:t>
      </w:r>
      <w:bookmarkEnd w:id="13"/>
    </w:p>
    <w:p w:rsidR="005D3F85" w:rsidRPr="002A29FE" w:rsidRDefault="005D3F85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lastRenderedPageBreak/>
        <w:t xml:space="preserve">در اینجا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می‌توان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قائل به تفصیلی شد که؛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کسی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 مبتلای به حدی غیر از زنای محصنه شد،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اگر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توبه کند نیز نخواهد توانست حد را اجرا کند، به خاطر روایت زراره که روایت دوم در این بخش بود.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غیر آن به همان قاعده عمومی باید رجوع بشود.</w:t>
      </w:r>
    </w:p>
    <w:p w:rsidR="005D3F85" w:rsidRPr="002A29FE" w:rsidRDefault="005D3F85" w:rsidP="000E6766">
      <w:pPr>
        <w:pStyle w:val="Heading4"/>
        <w:ind w:firstLine="0"/>
        <w:rPr>
          <w:rFonts w:ascii="IRBadr" w:hAnsi="IRBadr" w:cs="IRBadr"/>
          <w:color w:val="000000" w:themeColor="text1"/>
          <w:rtl/>
        </w:rPr>
      </w:pPr>
      <w:bookmarkStart w:id="14" w:name="_Toc425933267"/>
      <w:r w:rsidRPr="002A29FE">
        <w:rPr>
          <w:rFonts w:ascii="IRBadr" w:hAnsi="IRBadr" w:cs="IRBadr"/>
          <w:color w:val="000000" w:themeColor="text1"/>
          <w:rtl/>
        </w:rPr>
        <w:t>معنای «مثل فعله»</w:t>
      </w:r>
      <w:bookmarkEnd w:id="14"/>
    </w:p>
    <w:p w:rsidR="005D3F85" w:rsidRPr="002A29FE" w:rsidRDefault="005D3F85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مشهور عبارت «مثل فعله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»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روایت زراره را حمل بر همان معنای موجود در روایات خودشان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می‌کنند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قرینیت در اینجا وجود نداشته و امر قضاوت در این مقام امری مشکل است.</w:t>
      </w:r>
    </w:p>
    <w:p w:rsidR="005D3F85" w:rsidRPr="002A29FE" w:rsidRDefault="005D3F85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</w:p>
    <w:p w:rsidR="005D3F85" w:rsidRPr="002A29FE" w:rsidRDefault="005D3F85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در برخی از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بحث‌های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پیشین بود که اگر امری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باب</w:t>
      </w:r>
      <w:r w:rsidR="00F943A1"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ینه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ثابت‌شده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باشد،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495996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ابتدا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رجم باید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باب</w:t>
      </w:r>
      <w:r w:rsidR="00F943A1"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ینه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شروع‌شده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پس‌ازآن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باید مردم و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بعدازآن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امام رجم نمایند.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اگر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همین صورت خود بینه مرتکب گناه شده باشد،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حال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بعد از شهادت و یا قبل از آن مبتلا شده باشد،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اینجا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از</w:t>
      </w:r>
      <w:r w:rsidR="00F943A1"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یک‌طرف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روایات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می‌فرمایند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بینه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این مقام باید مقیم حد باشد و از طرفی نیز این مانع وجود دارد،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حکم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این حالت چگونه خواهد بود؟</w:t>
      </w:r>
    </w:p>
    <w:p w:rsidR="005D3F85" w:rsidRPr="002A29FE" w:rsidRDefault="00BB02C7" w:rsidP="000E6766">
      <w:pPr>
        <w:pStyle w:val="Heading4"/>
        <w:ind w:firstLine="0"/>
        <w:rPr>
          <w:rFonts w:ascii="IRBadr" w:hAnsi="IRBadr" w:cs="IRBadr"/>
          <w:color w:val="000000" w:themeColor="text1"/>
          <w:rtl/>
        </w:rPr>
      </w:pPr>
      <w:bookmarkStart w:id="15" w:name="_Toc425933268"/>
      <w:r w:rsidRPr="002A29FE">
        <w:rPr>
          <w:rFonts w:ascii="IRBadr" w:hAnsi="IRBadr" w:cs="IRBadr"/>
          <w:color w:val="000000" w:themeColor="text1"/>
          <w:rtl/>
        </w:rPr>
        <w:t>اتخاذ مبنا</w:t>
      </w:r>
      <w:bookmarkEnd w:id="15"/>
    </w:p>
    <w:p w:rsidR="00BB02C7" w:rsidRPr="002A29FE" w:rsidRDefault="00BB02C7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در اینجا این روایت با روایات دیگر تعارض من وجه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پ</w:t>
      </w:r>
      <w:r w:rsidR="00F943A1"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یداکرده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است،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مورد وفاق تساقط صورت گرفته و به اصل رجوع 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درنت</w:t>
      </w:r>
      <w:r w:rsidR="00F943A1"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یجه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اجرای او مانعی ندارد.،</w:t>
      </w:r>
      <w:r w:rsidR="000E6766"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هرچند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 طبق ادله فوق لازم نیست او </w:t>
      </w:r>
      <w:r w:rsidR="00F943A1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شروع‌کننده</w:t>
      </w:r>
      <w:r w:rsidRPr="002A29FE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باشد. اما مانعی نیز وجود ندارد.</w:t>
      </w:r>
    </w:p>
    <w:p w:rsidR="00BB02C7" w:rsidRPr="002A29FE" w:rsidRDefault="00BB02C7" w:rsidP="000E6766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</w:p>
    <w:p w:rsidR="00152670" w:rsidRPr="002A29FE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2A29FE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1A" w:rsidRDefault="00A4311A" w:rsidP="000D5800">
      <w:pPr>
        <w:spacing w:after="0" w:line="240" w:lineRule="auto"/>
      </w:pPr>
      <w:r>
        <w:separator/>
      </w:r>
    </w:p>
  </w:endnote>
  <w:endnote w:type="continuationSeparator" w:id="0">
    <w:p w:rsidR="00A4311A" w:rsidRDefault="00A4311A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1A" w:rsidRDefault="00A4311A" w:rsidP="002A29FE">
      <w:pPr>
        <w:bidi/>
        <w:spacing w:after="0" w:line="240" w:lineRule="auto"/>
      </w:pPr>
      <w:r>
        <w:separator/>
      </w:r>
    </w:p>
  </w:footnote>
  <w:footnote w:type="continuationSeparator" w:id="0">
    <w:p w:rsidR="00A4311A" w:rsidRDefault="00A4311A" w:rsidP="000D5800">
      <w:pPr>
        <w:spacing w:after="0" w:line="240" w:lineRule="auto"/>
      </w:pPr>
      <w:r>
        <w:continuationSeparator/>
      </w:r>
    </w:p>
  </w:footnote>
  <w:footnote w:id="1">
    <w:p w:rsidR="000E6766" w:rsidRDefault="000E676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60F51">
        <w:rPr>
          <w:rFonts w:ascii="Noor_Titr" w:hAnsi="Noor_Titr" w:cs="B Badr" w:hint="cs"/>
          <w:color w:val="000000" w:themeColor="text1"/>
          <w:rtl/>
        </w:rPr>
        <w:t>تهذ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D60F51">
        <w:rPr>
          <w:rFonts w:ascii="Noor_Titr" w:hAnsi="Noor_Titr" w:cs="B Badr" w:hint="cs"/>
          <w:color w:val="000000" w:themeColor="text1"/>
          <w:rtl/>
        </w:rPr>
        <w:t>ب الأح</w:t>
      </w:r>
      <w:r>
        <w:rPr>
          <w:rFonts w:ascii="Noor_Titr" w:hAnsi="Noor_Titr" w:cs="B Badr" w:hint="cs"/>
          <w:color w:val="000000" w:themeColor="text1"/>
          <w:rtl/>
        </w:rPr>
        <w:t>ک</w:t>
      </w:r>
      <w:r w:rsidRPr="00D60F51">
        <w:rPr>
          <w:rFonts w:ascii="Noor_Titr" w:hAnsi="Noor_Titr" w:cs="B Badr" w:hint="cs"/>
          <w:color w:val="000000" w:themeColor="text1"/>
          <w:rtl/>
        </w:rPr>
        <w:t xml:space="preserve">ام؛ </w:t>
      </w:r>
      <w:r>
        <w:rPr>
          <w:rFonts w:ascii="Noor_Titr" w:hAnsi="Noor_Titr" w:cs="B Badr"/>
          <w:color w:val="000000" w:themeColor="text1"/>
          <w:rtl/>
        </w:rPr>
        <w:t>ج 10</w:t>
      </w:r>
      <w:r w:rsidRPr="00D60F51">
        <w:rPr>
          <w:rFonts w:ascii="Noor_Titr" w:hAnsi="Noor_Titr" w:cs="B Badr" w:hint="cs"/>
          <w:color w:val="000000" w:themeColor="text1"/>
          <w:rtl/>
        </w:rPr>
        <w:t>، ص: 11</w:t>
      </w:r>
    </w:p>
  </w:footnote>
  <w:footnote w:id="2">
    <w:p w:rsidR="000E6766" w:rsidRDefault="000E676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60F51">
        <w:rPr>
          <w:rFonts w:ascii="Noor_Titr" w:hAnsi="Noor_Titr" w:cs="B Badr" w:hint="cs"/>
          <w:color w:val="000000" w:themeColor="text1"/>
          <w:rtl/>
        </w:rPr>
        <w:t>ال</w:t>
      </w:r>
      <w:r>
        <w:rPr>
          <w:rFonts w:ascii="Noor_Titr" w:hAnsi="Noor_Titr" w:cs="B Badr" w:hint="cs"/>
          <w:color w:val="000000" w:themeColor="text1"/>
          <w:rtl/>
        </w:rPr>
        <w:t>ک</w:t>
      </w:r>
      <w:r w:rsidRPr="00D60F51">
        <w:rPr>
          <w:rFonts w:ascii="Noor_Titr" w:hAnsi="Noor_Titr" w:cs="B Badr" w:hint="cs"/>
          <w:color w:val="000000" w:themeColor="text1"/>
          <w:rtl/>
        </w:rPr>
        <w:t>اف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D60F51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D60F51">
        <w:rPr>
          <w:rFonts w:ascii="Noor_Titr" w:hAnsi="Noor_Titr" w:cs="B Badr" w:hint="cs"/>
          <w:color w:val="000000" w:themeColor="text1"/>
          <w:rtl/>
        </w:rPr>
        <w:t xml:space="preserve">ة)؛ </w:t>
      </w:r>
      <w:r>
        <w:rPr>
          <w:rFonts w:ascii="Noor_Titr" w:hAnsi="Noor_Titr" w:cs="B Badr"/>
          <w:color w:val="000000" w:themeColor="text1"/>
          <w:rtl/>
        </w:rPr>
        <w:t>ج 7</w:t>
      </w:r>
      <w:r w:rsidRPr="00D60F51">
        <w:rPr>
          <w:rFonts w:ascii="Noor_Titr" w:hAnsi="Noor_Titr" w:cs="B Badr" w:hint="cs"/>
          <w:color w:val="000000" w:themeColor="text1"/>
          <w:rtl/>
        </w:rPr>
        <w:t>، ص: 188</w:t>
      </w:r>
    </w:p>
  </w:footnote>
  <w:footnote w:id="3">
    <w:p w:rsidR="000E6766" w:rsidRDefault="000E6766" w:rsidP="000E676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D60F51">
        <w:rPr>
          <w:rFonts w:ascii="Noor_Titr" w:hAnsi="Noor_Titr" w:cs="B Badr" w:hint="cs"/>
          <w:color w:val="000000" w:themeColor="text1"/>
          <w:rtl/>
        </w:rPr>
        <w:t>ال</w:t>
      </w:r>
      <w:r>
        <w:rPr>
          <w:rFonts w:ascii="Noor_Titr" w:hAnsi="Noor_Titr" w:cs="B Badr" w:hint="cs"/>
          <w:color w:val="000000" w:themeColor="text1"/>
          <w:rtl/>
        </w:rPr>
        <w:t>ک</w:t>
      </w:r>
      <w:r w:rsidRPr="00D60F51">
        <w:rPr>
          <w:rFonts w:ascii="Noor_Titr" w:hAnsi="Noor_Titr" w:cs="B Badr" w:hint="cs"/>
          <w:color w:val="000000" w:themeColor="text1"/>
          <w:rtl/>
        </w:rPr>
        <w:t>اف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D60F51">
        <w:rPr>
          <w:rFonts w:ascii="Noor_Titr" w:hAnsi="Noor_Titr" w:cs="B Badr" w:hint="cs"/>
          <w:color w:val="000000" w:themeColor="text1"/>
          <w:rtl/>
        </w:rPr>
        <w:t xml:space="preserve"> (ط - دار الحد</w:t>
      </w:r>
      <w:r>
        <w:rPr>
          <w:rFonts w:ascii="Noor_Titr" w:hAnsi="Noor_Titr" w:cs="B Badr" w:hint="cs"/>
          <w:color w:val="000000" w:themeColor="text1"/>
          <w:rtl/>
        </w:rPr>
        <w:t>ی</w:t>
      </w:r>
      <w:r w:rsidRPr="00D60F51">
        <w:rPr>
          <w:rFonts w:ascii="Noor_Titr" w:hAnsi="Noor_Titr" w:cs="B Badr" w:hint="cs"/>
          <w:color w:val="000000" w:themeColor="text1"/>
          <w:rtl/>
        </w:rPr>
        <w:t xml:space="preserve">ث)؛ </w:t>
      </w:r>
      <w:r>
        <w:rPr>
          <w:rFonts w:ascii="Noor_Titr" w:hAnsi="Noor_Titr" w:cs="B Badr"/>
          <w:color w:val="000000" w:themeColor="text1"/>
          <w:rtl/>
        </w:rPr>
        <w:t>ج 14</w:t>
      </w:r>
      <w:r w:rsidRPr="00D60F51">
        <w:rPr>
          <w:rFonts w:ascii="Noor_Titr" w:hAnsi="Noor_Titr" w:cs="B Badr" w:hint="cs"/>
          <w:color w:val="000000" w:themeColor="text1"/>
          <w:rtl/>
        </w:rPr>
        <w:t>، ص: 48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0A6366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C1E0C9" wp14:editId="04D9436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9CEC10C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  <w:lang w:bidi="fa-IR"/>
      </w:rPr>
      <w:drawing>
        <wp:inline distT="0" distB="0" distL="0" distR="0" wp14:anchorId="1DFCA695" wp14:editId="008F70E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0E6766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0A6366">
      <w:rPr>
        <w:rFonts w:ascii="IranNastaliq" w:hAnsi="IranNastaliq" w:cs="IranNastaliq" w:hint="cs"/>
        <w:sz w:val="40"/>
        <w:szCs w:val="40"/>
        <w:rtl/>
      </w:rPr>
      <w:t>780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66"/>
    <w:rsid w:val="000228A2"/>
    <w:rsid w:val="000324F1"/>
    <w:rsid w:val="00041FE0"/>
    <w:rsid w:val="00052BA3"/>
    <w:rsid w:val="0006363E"/>
    <w:rsid w:val="00080DFF"/>
    <w:rsid w:val="00085ED5"/>
    <w:rsid w:val="000A1A51"/>
    <w:rsid w:val="000A3527"/>
    <w:rsid w:val="000A6366"/>
    <w:rsid w:val="000D2D0D"/>
    <w:rsid w:val="000D5800"/>
    <w:rsid w:val="000E6766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A29FE"/>
    <w:rsid w:val="002C56FD"/>
    <w:rsid w:val="002D49E4"/>
    <w:rsid w:val="002E450B"/>
    <w:rsid w:val="002E73F9"/>
    <w:rsid w:val="002F05B9"/>
    <w:rsid w:val="00336719"/>
    <w:rsid w:val="00340BA3"/>
    <w:rsid w:val="00366400"/>
    <w:rsid w:val="00386995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95996"/>
    <w:rsid w:val="004B337F"/>
    <w:rsid w:val="004F3596"/>
    <w:rsid w:val="0055571D"/>
    <w:rsid w:val="00572E2D"/>
    <w:rsid w:val="00592103"/>
    <w:rsid w:val="005941DD"/>
    <w:rsid w:val="005A545E"/>
    <w:rsid w:val="005A5862"/>
    <w:rsid w:val="005B0852"/>
    <w:rsid w:val="005C06AE"/>
    <w:rsid w:val="005D3F85"/>
    <w:rsid w:val="00610C18"/>
    <w:rsid w:val="00612385"/>
    <w:rsid w:val="00612B94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D7FB9"/>
    <w:rsid w:val="009F4EB3"/>
    <w:rsid w:val="00A06D48"/>
    <w:rsid w:val="00A21834"/>
    <w:rsid w:val="00A31C17"/>
    <w:rsid w:val="00A31FDE"/>
    <w:rsid w:val="00A35AC2"/>
    <w:rsid w:val="00A37C77"/>
    <w:rsid w:val="00A4311A"/>
    <w:rsid w:val="00A5418D"/>
    <w:rsid w:val="00A725C2"/>
    <w:rsid w:val="00A72FAB"/>
    <w:rsid w:val="00A769EE"/>
    <w:rsid w:val="00A810A5"/>
    <w:rsid w:val="00A9616A"/>
    <w:rsid w:val="00A96F68"/>
    <w:rsid w:val="00A9759B"/>
    <w:rsid w:val="00AA2342"/>
    <w:rsid w:val="00AD0304"/>
    <w:rsid w:val="00AD27BE"/>
    <w:rsid w:val="00AF0F1A"/>
    <w:rsid w:val="00B15027"/>
    <w:rsid w:val="00B21CF4"/>
    <w:rsid w:val="00B24300"/>
    <w:rsid w:val="00B63F15"/>
    <w:rsid w:val="00BB02C7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D7940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5F2F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943A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A63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E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E676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2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A63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E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E676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2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5D00-256A-492C-8FA6-D60BE367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78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6</cp:revision>
  <dcterms:created xsi:type="dcterms:W3CDTF">2014-12-20T10:10:00Z</dcterms:created>
  <dcterms:modified xsi:type="dcterms:W3CDTF">2015-08-15T05:45:00Z</dcterms:modified>
</cp:coreProperties>
</file>