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D13CD" w:rsidRPr="00E83FB0" w:rsidTr="00081F71">
        <w:tc>
          <w:tcPr>
            <w:tcW w:w="4788" w:type="dxa"/>
          </w:tcPr>
          <w:p w:rsidR="00AD13CD" w:rsidRPr="00E83FB0" w:rsidRDefault="00AD13CD" w:rsidP="00950135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AD13CD" w:rsidRPr="00E83FB0" w:rsidRDefault="00AD13CD" w:rsidP="00950135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</w:tr>
    </w:tbl>
    <w:p w:rsidR="00AD13CD" w:rsidRPr="00E83FB0" w:rsidRDefault="00574AF3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AD13CD" w:rsidRPr="00E83FB0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B06C07" w:rsidRPr="00E83FB0" w:rsidRDefault="00B06C07" w:rsidP="00B06C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B06C07" w:rsidRPr="00E83FB0" w:rsidRDefault="00B06C07" w:rsidP="00B06C0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E83FB0">
        <w:rPr>
          <w:rFonts w:ascii="IRBadr" w:hAnsi="IRBadr" w:cs="IRBadr"/>
          <w:sz w:val="28"/>
          <w:rtl/>
        </w:rPr>
        <w:fldChar w:fldCharType="begin"/>
      </w:r>
      <w:r w:rsidRPr="00E83FB0">
        <w:rPr>
          <w:rFonts w:ascii="IRBadr" w:hAnsi="IRBadr" w:cs="IRBadr"/>
          <w:sz w:val="28"/>
          <w:rtl/>
        </w:rPr>
        <w:instrText xml:space="preserve"> </w:instrText>
      </w:r>
      <w:r w:rsidRPr="00E83FB0">
        <w:rPr>
          <w:rFonts w:ascii="IRBadr" w:hAnsi="IRBadr" w:cs="IRBadr"/>
          <w:sz w:val="28"/>
        </w:rPr>
        <w:instrText>TOC</w:instrText>
      </w:r>
      <w:r w:rsidRPr="00E83FB0">
        <w:rPr>
          <w:rFonts w:ascii="IRBadr" w:hAnsi="IRBadr" w:cs="IRBadr"/>
          <w:sz w:val="28"/>
          <w:rtl/>
        </w:rPr>
        <w:instrText xml:space="preserve"> \</w:instrText>
      </w:r>
      <w:r w:rsidRPr="00E83FB0">
        <w:rPr>
          <w:rFonts w:ascii="IRBadr" w:hAnsi="IRBadr" w:cs="IRBadr"/>
          <w:sz w:val="28"/>
        </w:rPr>
        <w:instrText>o "</w:instrText>
      </w:r>
      <w:r w:rsidRPr="00E83FB0">
        <w:rPr>
          <w:rFonts w:ascii="IRBadr" w:hAnsi="IRBadr" w:cs="IRBadr"/>
          <w:sz w:val="28"/>
          <w:rtl/>
        </w:rPr>
        <w:instrText>1-4</w:instrText>
      </w:r>
      <w:r w:rsidRPr="00E83FB0">
        <w:rPr>
          <w:rFonts w:ascii="IRBadr" w:hAnsi="IRBadr" w:cs="IRBadr"/>
          <w:sz w:val="28"/>
        </w:rPr>
        <w:instrText>" \h \z \u</w:instrText>
      </w:r>
      <w:r w:rsidRPr="00E83FB0">
        <w:rPr>
          <w:rFonts w:ascii="IRBadr" w:hAnsi="IRBadr" w:cs="IRBadr"/>
          <w:sz w:val="28"/>
          <w:rtl/>
        </w:rPr>
        <w:instrText xml:space="preserve"> </w:instrText>
      </w:r>
      <w:r w:rsidRPr="00E83FB0">
        <w:rPr>
          <w:rFonts w:ascii="IRBadr" w:hAnsi="IRBadr" w:cs="IRBadr"/>
          <w:sz w:val="28"/>
          <w:rtl/>
        </w:rPr>
        <w:fldChar w:fldCharType="separate"/>
      </w:r>
      <w:hyperlink w:anchor="_Toc426026246" w:history="1">
        <w:r w:rsidRPr="00E83FB0">
          <w:rPr>
            <w:rStyle w:val="Hyperlink"/>
            <w:rFonts w:ascii="IRBadr" w:hAnsi="IRBadr" w:cs="IRBadr"/>
            <w:noProof/>
            <w:rtl/>
          </w:rPr>
          <w:t>تدفین و تکفین مرجوم</w:t>
        </w:r>
        <w:r w:rsidRPr="00E83FB0">
          <w:rPr>
            <w:rFonts w:ascii="IRBadr" w:hAnsi="IRBadr" w:cs="IRBadr"/>
            <w:noProof/>
            <w:webHidden/>
          </w:rPr>
          <w:tab/>
        </w:r>
        <w:r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E83FB0">
          <w:rPr>
            <w:rFonts w:ascii="IRBadr" w:hAnsi="IRBadr" w:cs="IRBadr"/>
            <w:noProof/>
            <w:webHidden/>
          </w:rPr>
          <w:instrText xml:space="preserve"> PAGEREF _Toc426026246 \h </w:instrText>
        </w:r>
        <w:r w:rsidRPr="00E83FB0">
          <w:rPr>
            <w:rStyle w:val="Hyperlink"/>
            <w:rFonts w:ascii="IRBadr" w:hAnsi="IRBadr" w:cs="IRBadr"/>
            <w:noProof/>
            <w:rtl/>
          </w:rPr>
        </w:r>
        <w:r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E83FB0">
          <w:rPr>
            <w:rFonts w:ascii="IRBadr" w:hAnsi="IRBadr" w:cs="IRBadr"/>
            <w:noProof/>
            <w:webHidden/>
          </w:rPr>
          <w:t>1</w:t>
        </w:r>
        <w:r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47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آراء در این باب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_Toc426026247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2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48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مقدمات بحث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_Toc426026248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2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49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مقدمه اول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_Toc426026249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2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50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مقدمه دوم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_Toc426026250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2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51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مستند قول به خلاف قاعده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_Toc426026251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3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52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بحث رجالی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_Toc426026252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3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53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وجوه توثیق مسمع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_Toc426026253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4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54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روایت دال بر وجاهت او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_Toc426026254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4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55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جهت دوم توثیق ممع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_Toc426026255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5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56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وجه سوم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_Toc426026256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5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57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جمع بندی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_Toc426026257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5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026258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راه دوم برای توثیق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_Toc426026258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5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026259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فروع بحث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_Toc426026259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5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026260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استحباب یا وجوب حکم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_Toc426026260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5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026261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>تغسیل دوباره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_Toc426026261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6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E372B4" w:rsidP="00B06C0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026262" w:history="1">
        <w:r w:rsidR="00B06C07" w:rsidRPr="00E83FB0">
          <w:rPr>
            <w:rStyle w:val="Hyperlink"/>
            <w:rFonts w:ascii="IRBadr" w:hAnsi="IRBadr" w:cs="IRBadr"/>
            <w:noProof/>
            <w:rtl/>
          </w:rPr>
          <w:t xml:space="preserve">شمول </w:t>
        </w:r>
        <w:r w:rsidR="00DC0466">
          <w:rPr>
            <w:rStyle w:val="Hyperlink"/>
            <w:rFonts w:ascii="IRBadr" w:hAnsi="IRBadr" w:cs="IRBadr"/>
            <w:noProof/>
            <w:rtl/>
          </w:rPr>
          <w:t>شرایط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t xml:space="preserve"> غسل میت در این باب</w:t>
        </w:r>
        <w:r w:rsidR="00B06C07" w:rsidRPr="00E83FB0">
          <w:rPr>
            <w:rFonts w:ascii="IRBadr" w:hAnsi="IRBadr" w:cs="IRBadr"/>
            <w:noProof/>
            <w:webHidden/>
          </w:rPr>
          <w:tab/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06C07" w:rsidRPr="00E83FB0">
          <w:rPr>
            <w:rFonts w:ascii="IRBadr" w:hAnsi="IRBadr" w:cs="IRBadr"/>
            <w:noProof/>
            <w:webHidden/>
          </w:rPr>
          <w:instrText xml:space="preserve"> PAGEREF _Toc426026262 \h </w:instrText>
        </w:r>
        <w:r w:rsidR="00B06C07" w:rsidRPr="00E83FB0">
          <w:rPr>
            <w:rStyle w:val="Hyperlink"/>
            <w:rFonts w:ascii="IRBadr" w:hAnsi="IRBadr" w:cs="IRBadr"/>
            <w:noProof/>
            <w:rtl/>
          </w:rPr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06C07" w:rsidRPr="00E83FB0">
          <w:rPr>
            <w:rFonts w:ascii="IRBadr" w:hAnsi="IRBadr" w:cs="IRBadr"/>
            <w:noProof/>
            <w:webHidden/>
          </w:rPr>
          <w:t>6</w:t>
        </w:r>
        <w:r w:rsidR="00B06C07" w:rsidRPr="00E83FB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06C07" w:rsidRPr="00E83FB0" w:rsidRDefault="00B06C07" w:rsidP="00B06C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83FB0" w:rsidRDefault="00E83FB0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6026246"/>
      <w:r>
        <w:rPr>
          <w:rFonts w:ascii="IRBadr" w:hAnsi="IRBadr" w:cs="IRBadr"/>
          <w:rtl/>
        </w:rPr>
        <w:br w:type="page"/>
      </w:r>
    </w:p>
    <w:p w:rsidR="00DB145B" w:rsidRPr="00E83FB0" w:rsidRDefault="00D27C7D" w:rsidP="00950135">
      <w:pPr>
        <w:pStyle w:val="Heading1"/>
        <w:rPr>
          <w:rFonts w:ascii="IRBadr" w:hAnsi="IRBadr" w:cs="IRBadr"/>
          <w:rtl/>
        </w:rPr>
      </w:pPr>
      <w:r w:rsidRPr="00E83FB0">
        <w:rPr>
          <w:rFonts w:ascii="IRBadr" w:hAnsi="IRBadr" w:cs="IRBadr"/>
          <w:rtl/>
        </w:rPr>
        <w:lastRenderedPageBreak/>
        <w:t xml:space="preserve">تدفین و تکفین </w:t>
      </w:r>
      <w:r w:rsidR="00DB145B" w:rsidRPr="00E83FB0">
        <w:rPr>
          <w:rFonts w:ascii="IRBadr" w:hAnsi="IRBadr" w:cs="IRBadr"/>
          <w:rtl/>
        </w:rPr>
        <w:t>مرجوم</w:t>
      </w:r>
      <w:bookmarkEnd w:id="0"/>
    </w:p>
    <w:p w:rsidR="00DB145B" w:rsidRPr="00E83FB0" w:rsidRDefault="00DB145B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احکامی که تا به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مربوط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به احکام عمومی و جاری در همه حدود بود،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برخی نیز در آن میان به زنا یا رجم و ...اختصاص داشت.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حکمی که در این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قرار گیرد مربوط به رجم و احکام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کفن‌ودفن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مرجوم است.</w:t>
      </w:r>
    </w:p>
    <w:p w:rsidR="00DB145B" w:rsidRPr="00E83FB0" w:rsidRDefault="00DB145B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سؤالی که در اینجا وجود دارد این است که آیا در قبال مرجوم نیز در این زمینه همان احکامی رعایت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که در قبال سایر مسلمین وجود دارد؟ یا اینکه در اینجا تغسیل و یا برخی خصوصیات دیگر بر رجم مقدم خواهد شد؟</w:t>
      </w:r>
    </w:p>
    <w:p w:rsidR="00DB145B" w:rsidRPr="00E83FB0" w:rsidRDefault="00DB145B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در باب دفن میت،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 که این بر عهده مکلفین است و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واجبی کفایی باید اتیان گردد،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اگر دلیل خاصی در این باب وجود نداشته باشد،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بر طبق همین قاعده اولیه حکم نماییم. چراکه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فرد مرجوم از اسلام خارج نشده است و اطلاقات موجود در باب میت او را دربر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B145B" w:rsidRPr="00E83FB0" w:rsidRDefault="00DB145B" w:rsidP="00950135">
      <w:pPr>
        <w:pStyle w:val="Heading1"/>
        <w:rPr>
          <w:rFonts w:ascii="IRBadr" w:hAnsi="IRBadr" w:cs="IRBadr"/>
          <w:rtl/>
        </w:rPr>
      </w:pPr>
      <w:bookmarkStart w:id="1" w:name="_Toc426026247"/>
      <w:r w:rsidRPr="00E83FB0">
        <w:rPr>
          <w:rFonts w:ascii="IRBadr" w:hAnsi="IRBadr" w:cs="IRBadr"/>
          <w:rtl/>
        </w:rPr>
        <w:t>آراء در این باب</w:t>
      </w:r>
      <w:bookmarkEnd w:id="1"/>
    </w:p>
    <w:p w:rsidR="00DB145B" w:rsidRPr="00E83FB0" w:rsidRDefault="00DC0466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DB145B" w:rsidRPr="00E83FB0">
        <w:rPr>
          <w:rFonts w:ascii="IRBadr" w:hAnsi="IRBadr" w:cs="IRBadr"/>
          <w:sz w:val="28"/>
          <w:szCs w:val="28"/>
          <w:rtl/>
          <w:lang w:bidi="fa-IR"/>
        </w:rPr>
        <w:t xml:space="preserve"> نظر عامه حکم حتی در مرجومه نیز به همین صورت اجرا خواهد شد،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B145B" w:rsidRPr="00E83FB0">
        <w:rPr>
          <w:rFonts w:ascii="IRBadr" w:hAnsi="IRBadr" w:cs="IRBadr"/>
          <w:sz w:val="28"/>
          <w:szCs w:val="28"/>
          <w:rtl/>
          <w:lang w:bidi="fa-IR"/>
        </w:rPr>
        <w:t xml:space="preserve"> در فقه شیعه نسبت به آن مطلقات </w:t>
      </w:r>
      <w:r>
        <w:rPr>
          <w:rFonts w:ascii="IRBadr" w:hAnsi="IRBadr" w:cs="IRBadr"/>
          <w:sz w:val="28"/>
          <w:szCs w:val="28"/>
          <w:rtl/>
          <w:lang w:bidi="fa-IR"/>
        </w:rPr>
        <w:t>استثنائاتی</w:t>
      </w:r>
      <w:r w:rsidR="00DB145B" w:rsidRPr="00E83FB0">
        <w:rPr>
          <w:rFonts w:ascii="IRBadr" w:hAnsi="IRBadr" w:cs="IRBadr"/>
          <w:sz w:val="28"/>
          <w:szCs w:val="28"/>
          <w:rtl/>
          <w:lang w:bidi="fa-IR"/>
        </w:rPr>
        <w:t xml:space="preserve"> وجود دارد که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DB145B" w:rsidRPr="00E83FB0">
        <w:rPr>
          <w:rFonts w:ascii="IRBadr" w:hAnsi="IRBadr" w:cs="IRBadr"/>
          <w:sz w:val="28"/>
          <w:szCs w:val="28"/>
          <w:rtl/>
          <w:lang w:bidi="fa-IR"/>
        </w:rPr>
        <w:t xml:space="preserve"> هفتم به این </w:t>
      </w:r>
      <w:r>
        <w:rPr>
          <w:rFonts w:ascii="IRBadr" w:hAnsi="IRBadr" w:cs="IRBadr"/>
          <w:sz w:val="28"/>
          <w:szCs w:val="28"/>
          <w:rtl/>
          <w:lang w:bidi="fa-IR"/>
        </w:rPr>
        <w:t>استثنائات</w:t>
      </w:r>
      <w:r w:rsidR="00DB145B" w:rsidRPr="00E83FB0">
        <w:rPr>
          <w:rFonts w:ascii="IRBadr" w:hAnsi="IRBadr" w:cs="IRBadr"/>
          <w:sz w:val="28"/>
          <w:szCs w:val="28"/>
          <w:rtl/>
          <w:lang w:bidi="fa-IR"/>
        </w:rPr>
        <w:t xml:space="preserve"> اختصاص دارد.</w:t>
      </w:r>
    </w:p>
    <w:p w:rsidR="00DB145B" w:rsidRPr="00E83FB0" w:rsidRDefault="00DB145B" w:rsidP="00950135">
      <w:pPr>
        <w:pStyle w:val="Heading1"/>
        <w:rPr>
          <w:rFonts w:ascii="IRBadr" w:hAnsi="IRBadr" w:cs="IRBadr"/>
          <w:rtl/>
        </w:rPr>
      </w:pPr>
      <w:bookmarkStart w:id="2" w:name="_Toc426026248"/>
      <w:r w:rsidRPr="00E83FB0">
        <w:rPr>
          <w:rFonts w:ascii="IRBadr" w:hAnsi="IRBadr" w:cs="IRBadr"/>
          <w:rtl/>
        </w:rPr>
        <w:t>مقدمات بحث</w:t>
      </w:r>
      <w:bookmarkEnd w:id="2"/>
    </w:p>
    <w:p w:rsidR="00DB145B" w:rsidRPr="00E83FB0" w:rsidRDefault="00DB145B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قبل از ورود در اصل بحث لازم است چند مقدمه ذکر شود؛</w:t>
      </w:r>
    </w:p>
    <w:p w:rsidR="00DB145B" w:rsidRPr="00E83FB0" w:rsidRDefault="00DB145B" w:rsidP="00950135">
      <w:pPr>
        <w:pStyle w:val="Heading1"/>
        <w:rPr>
          <w:rFonts w:ascii="IRBadr" w:hAnsi="IRBadr" w:cs="IRBadr"/>
          <w:rtl/>
        </w:rPr>
      </w:pPr>
      <w:bookmarkStart w:id="3" w:name="_Toc426026249"/>
      <w:r w:rsidRPr="00E83FB0">
        <w:rPr>
          <w:rFonts w:ascii="IRBadr" w:hAnsi="IRBadr" w:cs="IRBadr"/>
          <w:rtl/>
        </w:rPr>
        <w:t>مقدمه اول</w:t>
      </w:r>
      <w:bookmarkEnd w:id="3"/>
    </w:p>
    <w:p w:rsidR="00DB145B" w:rsidRPr="00E83FB0" w:rsidRDefault="00DB145B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همه احکام مربوط به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کفن‌ودفن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فرد مسلم را در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مرتد که حالتی متمایز در این زمینه دارد.</w:t>
      </w:r>
    </w:p>
    <w:p w:rsidR="00DB145B" w:rsidRPr="00E83FB0" w:rsidRDefault="00862CBB" w:rsidP="00950135">
      <w:pPr>
        <w:pStyle w:val="Heading1"/>
        <w:rPr>
          <w:rFonts w:ascii="IRBadr" w:hAnsi="IRBadr" w:cs="IRBadr"/>
          <w:rtl/>
        </w:rPr>
      </w:pPr>
      <w:bookmarkStart w:id="4" w:name="_Toc426026250"/>
      <w:r w:rsidRPr="00E83FB0">
        <w:rPr>
          <w:rFonts w:ascii="IRBadr" w:hAnsi="IRBadr" w:cs="IRBadr"/>
          <w:rtl/>
        </w:rPr>
        <w:t>مقدمه دوم</w:t>
      </w:r>
      <w:bookmarkEnd w:id="4"/>
    </w:p>
    <w:p w:rsidR="00DB145B" w:rsidRPr="00E83FB0" w:rsidRDefault="00862CBB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در باب مرجوم و مرجومه نیز مانند سایر مسلمین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به‌اتفاق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تشیع و تسنن نماز اقامه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در اصل تکفین نیز در این زمینه اختلافی وجود ندارد.</w:t>
      </w:r>
    </w:p>
    <w:p w:rsidR="00862CBB" w:rsidRPr="00E83FB0" w:rsidRDefault="00574AF3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lastRenderedPageBreak/>
        <w:t>درعین‌حال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روایتی که تأکید کننده این امر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روایتی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در جلد هیجده،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ابواب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زنا،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باب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شانزده،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سیصد و هشتاد است که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از آن بحث شد و زمینه سندی آن نیز 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موردپذیرش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قرار گرفت.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حدیثی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که در آن زنی خدمت امیرالمؤمنین (ع) رسید و 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حامله بود به گناه خود اقرار کرد،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او را برگرداندند تا بچه متولد شود و پس از 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شیردهی</w:t>
      </w:r>
      <w:r w:rsidR="00862CBB" w:rsidRPr="00E83FB0">
        <w:rPr>
          <w:rFonts w:ascii="IRBadr" w:hAnsi="IRBadr" w:cs="IRBadr"/>
          <w:sz w:val="28"/>
          <w:szCs w:val="28"/>
          <w:rtl/>
          <w:lang w:bidi="fa-IR"/>
        </w:rPr>
        <w:t xml:space="preserve"> و بزرگ شدن نوزاد حد را بر او جاری کردند.</w:t>
      </w:r>
    </w:p>
    <w:p w:rsidR="00D27C7D" w:rsidRPr="00E83FB0" w:rsidRDefault="00862CBB" w:rsidP="0095013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E83FB0">
        <w:rPr>
          <w:rFonts w:ascii="IRBadr" w:hAnsi="IRBadr" w:cs="IRBadr"/>
          <w:sz w:val="28"/>
          <w:szCs w:val="28"/>
          <w:rtl/>
        </w:rPr>
        <w:t>که در آن روایت فرموده شده بود؛</w:t>
      </w:r>
    </w:p>
    <w:p w:rsidR="00D27C7D" w:rsidRPr="00E83FB0" w:rsidRDefault="00D27C7D" w:rsidP="00950135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«فَقَالُوا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قَنْبَرُ أَخْبِرْهُ أَنَّا قَدْ رَمَ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نَا بِحِجَارَتِنَا- وَ بِهَا رَمَقٌ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 نَصْنَعُ- فَقَالَ عُودُوا فِ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حِجَارَتِ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فَعَادُوا حَتَّ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قَضَتْ- فَقَالُوا لَهُ قَدْ مَاتَتْ فَ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 نَصْنَعُ بِهَا- قَالَ فَادْفَعُوهَا إِلَ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أَوْلِ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ائِهَا- وَ مُرُوهُمْ أَنْ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صْنَعُوا بِهَا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مَا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صْنَعُونَ بِمَوْتَاهُمْ.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E83FB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862CBB" w:rsidRPr="00E83FB0" w:rsidRDefault="00862CBB" w:rsidP="0095013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E83FB0">
        <w:rPr>
          <w:rFonts w:ascii="IRBadr" w:hAnsi="IRBadr" w:cs="IRBadr"/>
          <w:sz w:val="28"/>
          <w:szCs w:val="28"/>
          <w:rtl/>
        </w:rPr>
        <w:t xml:space="preserve">و </w:t>
      </w:r>
      <w:r w:rsidR="00574AF3" w:rsidRPr="00E83FB0">
        <w:rPr>
          <w:rFonts w:ascii="IRBadr" w:hAnsi="IRBadr" w:cs="IRBadr"/>
          <w:sz w:val="28"/>
          <w:szCs w:val="28"/>
          <w:rtl/>
        </w:rPr>
        <w:t>به‌عنوان</w:t>
      </w:r>
      <w:r w:rsidRPr="00E83FB0">
        <w:rPr>
          <w:rFonts w:ascii="IRBadr" w:hAnsi="IRBadr" w:cs="IRBadr"/>
          <w:sz w:val="28"/>
          <w:szCs w:val="28"/>
          <w:rtl/>
        </w:rPr>
        <w:t xml:space="preserve"> شاهد دیگری در این زمینه زمانی بود که فردی به مرجوم ناسزا </w:t>
      </w:r>
      <w:r w:rsidR="00950135" w:rsidRPr="00E83FB0">
        <w:rPr>
          <w:rFonts w:ascii="IRBadr" w:hAnsi="IRBadr" w:cs="IRBadr"/>
          <w:sz w:val="28"/>
          <w:szCs w:val="28"/>
          <w:rtl/>
        </w:rPr>
        <w:t>می‌گفت</w:t>
      </w:r>
      <w:r w:rsidRPr="00E83FB0">
        <w:rPr>
          <w:rFonts w:ascii="IRBadr" w:hAnsi="IRBadr" w:cs="IRBadr"/>
          <w:sz w:val="28"/>
          <w:szCs w:val="28"/>
          <w:rtl/>
        </w:rPr>
        <w:t xml:space="preserve"> که امام ناراحت شدند و فرمودند او پس از رجم دوباره احترام و حرمت خود را </w:t>
      </w:r>
      <w:r w:rsidR="00574AF3" w:rsidRPr="00E83FB0">
        <w:rPr>
          <w:rFonts w:ascii="IRBadr" w:hAnsi="IRBadr" w:cs="IRBadr"/>
          <w:sz w:val="28"/>
          <w:szCs w:val="28"/>
          <w:rtl/>
        </w:rPr>
        <w:t>به دست</w:t>
      </w:r>
      <w:r w:rsidRPr="00E83FB0">
        <w:rPr>
          <w:rFonts w:ascii="IRBadr" w:hAnsi="IRBadr" w:cs="IRBadr"/>
          <w:sz w:val="28"/>
          <w:szCs w:val="28"/>
          <w:rtl/>
        </w:rPr>
        <w:t xml:space="preserve"> آورده است.</w:t>
      </w:r>
    </w:p>
    <w:p w:rsidR="00862CBB" w:rsidRPr="00E83FB0" w:rsidRDefault="00B273FB" w:rsidP="00950135">
      <w:pPr>
        <w:pStyle w:val="Heading2"/>
        <w:rPr>
          <w:rFonts w:ascii="IRBadr" w:hAnsi="IRBadr" w:cs="IRBadr"/>
          <w:rtl/>
        </w:rPr>
      </w:pPr>
      <w:bookmarkStart w:id="5" w:name="_Toc426026251"/>
      <w:r w:rsidRPr="00E83FB0">
        <w:rPr>
          <w:rFonts w:ascii="IRBadr" w:hAnsi="IRBadr" w:cs="IRBadr"/>
          <w:rtl/>
        </w:rPr>
        <w:t>مستند قول به خلاف قاعده</w:t>
      </w:r>
      <w:bookmarkEnd w:id="5"/>
    </w:p>
    <w:p w:rsidR="00B273FB" w:rsidRPr="00E83FB0" w:rsidRDefault="00B273FB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در باب هفده از ابواب غسل میت روایتی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 که مبنای خلاف قواعد شده است؛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«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عِدَّةٌ مِنْ أَصْحَابِنَا عَنْ سَهْلِ بْنِ زِ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ادٍ عَنْ مُحَمَّدِ بْنِ الْحَسَنِ بْنِ شَمُّونٍ عَنْ عَبْدِ اللَّهِ بْنِ عَبْدِ الرَّحْمَنِ عَنْ مِسْمَعٍ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رْدِ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نٍ عَنْ أَبِ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الْمَرْجُومُ وَ الْمَرْجُومَةُ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غَسَّلَانِ وَ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حَنَّطَانِ وَ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لْبَسَانِ الْ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فَنَ قَبْلَ ذَلِ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ثُمَّ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رْجَمَانِ وَ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صَلَّ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عَلَ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هِمَا وَ الْمُقْتَصُّ»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</w:rPr>
        <w:t>‌</w:t>
      </w:r>
      <w:r w:rsidR="00D27C7D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27C7D" w:rsidRPr="00E83FB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B273FB" w:rsidRPr="00E83FB0" w:rsidRDefault="00B273FB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دلالت روشن است در اینکه فرد مرجوم غسل و تکفین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بر او نماز گذارده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تفاصیل و جزئیاتی دارد که باید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قرار گیرد.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احتمالاً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روایت مرفوعه دیگری در این زمینه در فقه الرضا وجود داشته باشد. روایت فوق در کافی و همچنین در من لایحضره الفقیه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سند مرحوم صدوق مرسله است.</w:t>
      </w:r>
    </w:p>
    <w:p w:rsidR="00B273FB" w:rsidRPr="00E83FB0" w:rsidRDefault="00B273FB" w:rsidP="00950135">
      <w:pPr>
        <w:pStyle w:val="Heading2"/>
        <w:rPr>
          <w:rFonts w:ascii="IRBadr" w:hAnsi="IRBadr" w:cs="IRBadr"/>
          <w:rtl/>
        </w:rPr>
      </w:pPr>
      <w:bookmarkStart w:id="6" w:name="_Toc426026252"/>
      <w:r w:rsidRPr="00E83FB0">
        <w:rPr>
          <w:rFonts w:ascii="IRBadr" w:hAnsi="IRBadr" w:cs="IRBadr"/>
          <w:rtl/>
        </w:rPr>
        <w:t>بحث رجالی</w:t>
      </w:r>
      <w:bookmarkEnd w:id="6"/>
    </w:p>
    <w:p w:rsidR="00B273FB" w:rsidRPr="00E83FB0" w:rsidRDefault="00B273FB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مسمع که در روایت فوق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واقع‌شده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عبد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المسمع و عامر دو برادر از فرزندان عبدالملک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مسمع روایات زیادی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به لحاظ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صحت‌وسقم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و محل اختلاف است.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مانند علامه و ابن </w:t>
      </w:r>
      <w:r w:rsidR="00983313" w:rsidRPr="00E83FB0">
        <w:rPr>
          <w:rFonts w:ascii="IRBadr" w:hAnsi="IRBadr" w:cs="IRBadr"/>
          <w:sz w:val="28"/>
          <w:szCs w:val="28"/>
          <w:rtl/>
          <w:lang w:bidi="fa-IR"/>
        </w:rPr>
        <w:t xml:space="preserve">طاووس او را توثیق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نکرده‌اند</w:t>
      </w:r>
      <w:r w:rsidR="00983313" w:rsidRPr="00E83FB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273FB" w:rsidRPr="00E83FB0" w:rsidRDefault="00983313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اما در نقطه مقابل قولی وجود دارد که او را توثیق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، که وجوهی در زمین توثیق او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983313" w:rsidRPr="00E83FB0" w:rsidRDefault="00983313" w:rsidP="00950135">
      <w:pPr>
        <w:pStyle w:val="Heading2"/>
        <w:rPr>
          <w:rFonts w:ascii="IRBadr" w:hAnsi="IRBadr" w:cs="IRBadr"/>
          <w:rtl/>
        </w:rPr>
      </w:pPr>
      <w:bookmarkStart w:id="7" w:name="_Toc426026253"/>
      <w:r w:rsidRPr="00E83FB0">
        <w:rPr>
          <w:rFonts w:ascii="IRBadr" w:hAnsi="IRBadr" w:cs="IRBadr"/>
          <w:rtl/>
        </w:rPr>
        <w:t>وجوه توثیق مسمع</w:t>
      </w:r>
      <w:bookmarkEnd w:id="7"/>
    </w:p>
    <w:p w:rsidR="00983313" w:rsidRPr="00E83FB0" w:rsidRDefault="00983313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مرحوم شیخ در فهرست تنها از او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نام‌برده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و نجاشی مدحی مختصر در قبال او داشته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اوین وجهی که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برای توثیق او ارائه داد،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همین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مدحی کلی نجاشی در قبال اوست.</w:t>
      </w:r>
    </w:p>
    <w:p w:rsidR="00CC0777" w:rsidRPr="00E83FB0" w:rsidRDefault="00CC0777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از او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از برادرش عامر وجاهت بیشتری داشته و نسل او در بصره زندگی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از امام باقر (ع) داشته ولی روایات او از امام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ع) بیشتر است.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از خواص ایشان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به‌حساب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آمده و روایاتی که نقل کرده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شاید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قریب به دویست روایت باشد.</w:t>
      </w:r>
    </w:p>
    <w:p w:rsidR="00CC0777" w:rsidRPr="00E83FB0" w:rsidRDefault="00CC0777" w:rsidP="00950135">
      <w:pPr>
        <w:pStyle w:val="Heading2"/>
        <w:rPr>
          <w:rFonts w:ascii="IRBadr" w:hAnsi="IRBadr" w:cs="IRBadr"/>
          <w:rtl/>
        </w:rPr>
      </w:pPr>
      <w:bookmarkStart w:id="8" w:name="_Toc426026254"/>
      <w:r w:rsidRPr="00E83FB0">
        <w:rPr>
          <w:rFonts w:ascii="IRBadr" w:hAnsi="IRBadr" w:cs="IRBadr"/>
          <w:rtl/>
        </w:rPr>
        <w:t>روایت دال بر وجاهت او</w:t>
      </w:r>
      <w:bookmarkEnd w:id="8"/>
    </w:p>
    <w:p w:rsidR="00CC0777" w:rsidRPr="00E83FB0" w:rsidRDefault="00CC0777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روایتی در منابع همانند کامل الزیارات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 که خوبی دلالت بر وجاهت او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1A7DAE" w:rsidRPr="00E83FB0" w:rsidRDefault="001A7DAE" w:rsidP="00DC0466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 رو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عنه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عَنْ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عَبْدِ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اللَّهِ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بْنِ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عَبْدِ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الرَّحْمَنِ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الْأَصَمِّ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عَنْ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مِسْمَعِ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بْنِ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عَبْدِ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الْمَلِكِ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كِرْدِينٍ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الْبَصْرِيِّ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قَالَ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: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قَالَ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أَبُو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عَبْدِ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اللَّهِ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مِسْمَعُ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أَنْتَ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مِنْ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أَهْلِ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الْعِرَاقِ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تَأْتِي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قَبْرَ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الْحُسَيْنِ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قُلْتُ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أَنَا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رَجُلٌ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مَشْهُورٌ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عِنْدَ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أَهْلِ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الْبَصْرَةِ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عِنْدَنَا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مَنْ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يَتَّبِعُ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هَوَى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هَذَا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الْخَلِيفَةِ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عَدُوُّنَا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كَثِيرٌ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مِنْ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أَهْلِ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القَبَائِلِ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النُّصَّابِ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غَيْرِهِمْ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لَسْتُ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آمَنُهُمْ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أَنْ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يَرْفَعُوا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حَالِي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عِنْدَ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وُلْدِ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سُلَيْمَانَ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فَيُمَثِّلُونَ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قَالَ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فَمَا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تَذْكُرُ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صُنِعَ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بِهِ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قُلْتُ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نَعَمْ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قَالَ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فَتَجْزَعُ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قُلْتُ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إِي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اللَّهِ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أَسْتَعْبِرُ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لِذَلِكَ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حَتَّى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يَرَى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أَهْلِي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أَثَرَ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ذَلِكَ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عَلَيَّ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فَأَمْتَنِعُ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الطَّعَامِ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حَتَّى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يَسْتَبِينَ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ذَلِكَ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فِي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وَجْهِي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قَالَ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رَحِمَ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اللَّهُ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دَمْعَتَكَ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-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أَمَا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إِنَّكَ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الَّذِينَ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يُعَدُّونَ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مِنْ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أَهْلِ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الْجَزَعِ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لَنَا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الَّذِينَ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يَفْرَحُونَ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لِفَرَحِنَا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يَحْزَنُونَ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لِحُزْنِنَا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يَخَافُونَ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لِخَوْفِنَا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يَأْمَنُونَ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إِذَا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أَمِنَّا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أَمَا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إِنَّكَ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سَتَرَى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عِنْدَ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مَوْتِكَ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حُضُورَ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آبَائِي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لَكَ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-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وَصِيَّتَهُمْ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مَلَكَ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الْمَوْتِ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بِكَ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يَلْقَوْنَكَ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بِهِ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الْبِشَارَةِ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أَفْضَلُ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لَمَلَكُ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الْمَوْتِ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أَرَقُّ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عَلَيْكَ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أَشَدُّ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رَحْمَةً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لَكَ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مِنَ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الْأُمِّ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الشَّفِيقَةِ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عَلَى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وَلَدِهَا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قَالَ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ثُمَّ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اسْتَعْبَرَ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اسْتَعْبَرْتُ</w:t>
      </w:r>
      <w:r w:rsidR="00DC0466" w:rsidRPr="00DC046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C0466" w:rsidRPr="00DC046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مَعَهُ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» </w:t>
      </w:r>
      <w:r w:rsidRPr="00E83FB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CC0777" w:rsidRPr="00E83FB0" w:rsidRDefault="00AD13CD" w:rsidP="00DC04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خدمت حضرت</w:t>
      </w:r>
      <w:r w:rsidR="00CC0777" w:rsidRPr="00E83FB0">
        <w:rPr>
          <w:rFonts w:ascii="IRBadr" w:hAnsi="IRBadr" w:cs="IRBadr"/>
          <w:sz w:val="28"/>
          <w:szCs w:val="28"/>
          <w:rtl/>
          <w:lang w:bidi="fa-IR"/>
        </w:rPr>
        <w:t xml:space="preserve"> رفت و ایشان 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از او سؤال کرد که تو از اهل عراقی</w:t>
      </w:r>
      <w:r w:rsidR="00CC0777" w:rsidRPr="00E83FB0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="00CC0777" w:rsidRPr="00E83FB0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زیارت امام حسین </w:t>
      </w:r>
      <w:r w:rsidR="00CC0777" w:rsidRPr="00E83FB0">
        <w:rPr>
          <w:rFonts w:ascii="IRBadr" w:hAnsi="IRBadr" w:cs="IRBadr"/>
          <w:sz w:val="28"/>
          <w:szCs w:val="28"/>
          <w:rtl/>
          <w:lang w:bidi="fa-IR"/>
        </w:rPr>
        <w:t xml:space="preserve">(ع) 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می‌روی؟</w:t>
      </w:r>
    </w:p>
    <w:p w:rsidR="00CC0777" w:rsidRPr="00E83FB0" w:rsidRDefault="00CC0777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گفت نمی‌روم. گفت چرا؟ گفت: در آنجا ناصبی‌ها زیاد هستند و من اگر </w:t>
      </w:r>
      <w:r w:rsidR="00AD13CD" w:rsidRPr="00E83FB0">
        <w:rPr>
          <w:rFonts w:ascii="IRBadr" w:hAnsi="IRBadr" w:cs="IRBadr"/>
          <w:sz w:val="28"/>
          <w:szCs w:val="28"/>
          <w:rtl/>
          <w:lang w:bidi="fa-IR"/>
        </w:rPr>
        <w:t xml:space="preserve">زیارت 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کنم،</w:t>
      </w:r>
      <w:r w:rsidR="00AD13CD" w:rsidRPr="00E83FB0">
        <w:rPr>
          <w:rFonts w:ascii="IRBadr" w:hAnsi="IRBadr" w:cs="IRBadr"/>
          <w:sz w:val="28"/>
          <w:szCs w:val="28"/>
          <w:rtl/>
          <w:lang w:bidi="fa-IR"/>
        </w:rPr>
        <w:t xml:space="preserve"> مورد تعرض قرار می‌گیرم. لذا تقیه می‌کنم و زیارت نمی‌روم.</w:t>
      </w:r>
    </w:p>
    <w:p w:rsidR="00CC0777" w:rsidRPr="00E83FB0" w:rsidRDefault="00407B03" w:rsidP="00950135">
      <w:pPr>
        <w:pStyle w:val="Heading2"/>
        <w:rPr>
          <w:rFonts w:ascii="IRBadr" w:hAnsi="IRBadr" w:cs="IRBadr"/>
          <w:rtl/>
        </w:rPr>
      </w:pPr>
      <w:bookmarkStart w:id="9" w:name="_Toc426026255"/>
      <w:r w:rsidRPr="00E83FB0">
        <w:rPr>
          <w:rFonts w:ascii="IRBadr" w:hAnsi="IRBadr" w:cs="IRBadr"/>
          <w:rtl/>
        </w:rPr>
        <w:lastRenderedPageBreak/>
        <w:t>جهت دوم توثیق م</w:t>
      </w:r>
      <w:r w:rsidR="00DC0466">
        <w:rPr>
          <w:rFonts w:ascii="IRBadr" w:hAnsi="IRBadr" w:cs="IRBadr" w:hint="cs"/>
          <w:rtl/>
        </w:rPr>
        <w:t>س</w:t>
      </w:r>
      <w:r w:rsidRPr="00E83FB0">
        <w:rPr>
          <w:rFonts w:ascii="IRBadr" w:hAnsi="IRBadr" w:cs="IRBadr"/>
          <w:rtl/>
        </w:rPr>
        <w:t>مع</w:t>
      </w:r>
      <w:bookmarkEnd w:id="9"/>
    </w:p>
    <w:p w:rsidR="00CC0777" w:rsidRPr="00E83FB0" w:rsidRDefault="00407B03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دومین جهتی که برای توثیق او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ذکر کرد، بحث مشهور رجال کامل الزیارات است که مبنای قدیمی اول مربوط به آقای خویی بوده و ایشان آن را معتبر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.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هرکسی که در سند کامل الزیارات قرار بگیرد دارای توثیق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اینکه در خصوص او شاهد تضعیفی بوده باشیم.</w:t>
      </w:r>
    </w:p>
    <w:p w:rsidR="00407B03" w:rsidRPr="00E83FB0" w:rsidRDefault="00407B03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لکن </w:t>
      </w:r>
      <w:r w:rsidR="00DC0466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که مکرر هم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ما این وجه را قبول نداریم و آقای خویی نیز در اواخر عمر خود از آن مبنا عدول کردند.</w:t>
      </w:r>
    </w:p>
    <w:p w:rsidR="00407B03" w:rsidRPr="00E83FB0" w:rsidRDefault="00407B03" w:rsidP="00950135">
      <w:pPr>
        <w:pStyle w:val="Heading2"/>
        <w:rPr>
          <w:rFonts w:ascii="IRBadr" w:hAnsi="IRBadr" w:cs="IRBadr"/>
          <w:rtl/>
        </w:rPr>
      </w:pPr>
      <w:bookmarkStart w:id="10" w:name="_Toc426026256"/>
      <w:r w:rsidRPr="00E83FB0">
        <w:rPr>
          <w:rFonts w:ascii="IRBadr" w:hAnsi="IRBadr" w:cs="IRBadr"/>
          <w:rtl/>
        </w:rPr>
        <w:t>وجه سوم</w:t>
      </w:r>
      <w:bookmarkEnd w:id="10"/>
    </w:p>
    <w:p w:rsidR="00407B03" w:rsidRPr="00E83FB0" w:rsidRDefault="00407B03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وجه سومی که مربوط به مسمع نبوده،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 که ضعف سند توسط شهرت موجود منجبر گردد،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بخصوص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اینکه این فتوا خلاف فتوای عامه نیز هست.</w:t>
      </w:r>
    </w:p>
    <w:p w:rsidR="00407B03" w:rsidRPr="00E83FB0" w:rsidRDefault="00574AF3" w:rsidP="00950135">
      <w:pPr>
        <w:pStyle w:val="Heading2"/>
        <w:rPr>
          <w:rFonts w:ascii="IRBadr" w:hAnsi="IRBadr" w:cs="IRBadr"/>
          <w:rtl/>
        </w:rPr>
      </w:pPr>
      <w:r w:rsidRPr="00E83FB0">
        <w:rPr>
          <w:rFonts w:ascii="IRBadr" w:hAnsi="IRBadr" w:cs="IRBadr"/>
          <w:rtl/>
        </w:rPr>
        <w:t>جمع‌بندی</w:t>
      </w:r>
    </w:p>
    <w:p w:rsidR="00407B03" w:rsidRPr="00E83FB0" w:rsidRDefault="00AD13CD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بنابراین سند این روایت به لحاظ سهل و مسمع محل بحث است. گرچه هم سهل هم مسمع راهی برای توثیق دار</w:t>
      </w:r>
      <w:r w:rsidR="00407B03" w:rsidRPr="00E83FB0">
        <w:rPr>
          <w:rFonts w:ascii="IRBadr" w:hAnsi="IRBadr" w:cs="IRBadr"/>
          <w:sz w:val="28"/>
          <w:szCs w:val="28"/>
          <w:rtl/>
          <w:lang w:bidi="fa-IR"/>
        </w:rPr>
        <w:t>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د، منتها شهرت در اینجا جبر سند می‌کند. </w:t>
      </w:r>
      <w:r w:rsidR="00407B03" w:rsidRPr="00E83FB0">
        <w:rPr>
          <w:rFonts w:ascii="IRBadr" w:hAnsi="IRBadr" w:cs="IRBadr"/>
          <w:sz w:val="28"/>
          <w:szCs w:val="28"/>
          <w:rtl/>
          <w:lang w:bidi="fa-IR"/>
        </w:rPr>
        <w:t>ا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ما در باب شهرت فتوایی گفتیم </w:t>
      </w:r>
      <w:r w:rsidR="00407B03" w:rsidRPr="00E83FB0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407B03" w:rsidRPr="00E83FB0">
        <w:rPr>
          <w:rFonts w:ascii="IRBadr" w:hAnsi="IRBadr" w:cs="IRBadr"/>
          <w:sz w:val="28"/>
          <w:szCs w:val="28"/>
          <w:rtl/>
          <w:lang w:bidi="fa-IR"/>
        </w:rPr>
        <w:t xml:space="preserve">به نحو 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کلی آن را قبول نداریم.</w:t>
      </w:r>
    </w:p>
    <w:p w:rsidR="00407B03" w:rsidRPr="00E83FB0" w:rsidRDefault="00407B03" w:rsidP="00950135">
      <w:pPr>
        <w:pStyle w:val="Heading2"/>
        <w:rPr>
          <w:rFonts w:ascii="IRBadr" w:hAnsi="IRBadr" w:cs="IRBadr"/>
          <w:rtl/>
        </w:rPr>
      </w:pPr>
      <w:bookmarkStart w:id="11" w:name="_Toc426026258"/>
      <w:r w:rsidRPr="00E83FB0">
        <w:rPr>
          <w:rFonts w:ascii="IRBadr" w:hAnsi="IRBadr" w:cs="IRBadr"/>
          <w:rtl/>
        </w:rPr>
        <w:t>راه دوم برای توثیق</w:t>
      </w:r>
      <w:bookmarkEnd w:id="11"/>
    </w:p>
    <w:p w:rsidR="00876B99" w:rsidRPr="00E83FB0" w:rsidRDefault="00876B99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راه دومی که جهت توثیق وجود دارد،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این روایت سندهای دیگری نیز وجود دارد؛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تهذیب و ...لذا مسمع قابل توثیق است و اگر نباشد نیز روایت به لحاظ محتوایی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قابل‌پذیرش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حکم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قابل‌پذیرش</w:t>
      </w:r>
      <w:r w:rsidR="00DA158A"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بدان عمل نمود.</w:t>
      </w:r>
    </w:p>
    <w:p w:rsidR="00407B03" w:rsidRPr="00E83FB0" w:rsidRDefault="00DA158A" w:rsidP="00950135">
      <w:pPr>
        <w:pStyle w:val="Heading3"/>
        <w:rPr>
          <w:rFonts w:ascii="IRBadr" w:hAnsi="IRBadr" w:cs="IRBadr"/>
          <w:rtl/>
        </w:rPr>
      </w:pPr>
      <w:bookmarkStart w:id="12" w:name="_Toc426026259"/>
      <w:r w:rsidRPr="00E83FB0">
        <w:rPr>
          <w:rFonts w:ascii="IRBadr" w:hAnsi="IRBadr" w:cs="IRBadr"/>
          <w:rtl/>
        </w:rPr>
        <w:t>فروع بحث</w:t>
      </w:r>
      <w:bookmarkEnd w:id="12"/>
    </w:p>
    <w:p w:rsidR="00DA158A" w:rsidRPr="00E83FB0" w:rsidRDefault="00DA158A" w:rsidP="00950135">
      <w:pPr>
        <w:pStyle w:val="Heading3"/>
        <w:rPr>
          <w:rFonts w:ascii="IRBadr" w:hAnsi="IRBadr" w:cs="IRBadr"/>
          <w:rtl/>
        </w:rPr>
      </w:pPr>
      <w:bookmarkStart w:id="13" w:name="_Toc426026260"/>
      <w:r w:rsidRPr="00E83FB0">
        <w:rPr>
          <w:rFonts w:ascii="IRBadr" w:hAnsi="IRBadr" w:cs="IRBadr"/>
          <w:rtl/>
        </w:rPr>
        <w:t>استحباب یا وجوب حکم</w:t>
      </w:r>
      <w:bookmarkEnd w:id="13"/>
    </w:p>
    <w:p w:rsidR="00DA158A" w:rsidRPr="00E83FB0" w:rsidRDefault="00DA158A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A158A" w:rsidRPr="00E83FB0" w:rsidRDefault="00DA158A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سؤالی که وجود دارد این است که؛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این حکم وجوبی یا استحبابی است؟</w:t>
      </w:r>
    </w:p>
    <w:p w:rsidR="00DA158A" w:rsidRPr="00E83FB0" w:rsidRDefault="00DA158A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مشهور فقها قائل به وجوب هستند و مرحوم شهید در مسالک و برخی افراد </w:t>
      </w:r>
      <w:r w:rsidR="00DC0466">
        <w:rPr>
          <w:rFonts w:ascii="IRBadr" w:hAnsi="IRBadr" w:cs="IRBadr"/>
          <w:sz w:val="28"/>
          <w:szCs w:val="28"/>
          <w:rtl/>
          <w:lang w:bidi="fa-IR"/>
        </w:rPr>
        <w:t>دیگر قائل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به استحباب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.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جواب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در این مقام روشن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ظهور روایت در وجوب است و جمله خبریه ای که در اینجا وجود دارد،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آکد از امر نباشد،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دلالتش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از آن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پایین‌تر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DA158A" w:rsidRPr="00E83FB0" w:rsidRDefault="00DA158A" w:rsidP="00950135">
      <w:pPr>
        <w:pStyle w:val="Heading3"/>
        <w:rPr>
          <w:rFonts w:ascii="IRBadr" w:hAnsi="IRBadr" w:cs="IRBadr"/>
          <w:rtl/>
        </w:rPr>
      </w:pPr>
      <w:bookmarkStart w:id="14" w:name="_Toc426026261"/>
      <w:r w:rsidRPr="00E83FB0">
        <w:rPr>
          <w:rFonts w:ascii="IRBadr" w:hAnsi="IRBadr" w:cs="IRBadr"/>
          <w:rtl/>
        </w:rPr>
        <w:t>تغسیل دوباره</w:t>
      </w:r>
      <w:bookmarkEnd w:id="14"/>
    </w:p>
    <w:p w:rsidR="00DA158A" w:rsidRPr="00E83FB0" w:rsidRDefault="00DA158A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جهت دومی وجود دارد که آیا بعد از مرگ،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دوباره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تغسیل و تکفین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7D3B0C" w:rsidRPr="00E83FB0" w:rsidRDefault="00DA158A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در روایت به این امر تصریح نشده است که دیگر تغسیل و تکفین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نمی‌خواهد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.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 xml:space="preserve"> در روایت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1A7DAE" w:rsidRPr="00E83FB0" w:rsidRDefault="001A7DAE" w:rsidP="007E5D6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؛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«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عِدَّةٌ مِنْ أَصْحَابِنَا عَنْ سَهْلِ بْنِ زِ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ادٍ عَنْ مُحَمَّدِ بْنِ الْحَسَنِ بْنِ شَمُّونٍ عَنْ عَبْدِ اللَّهِ بْنِ عَبْدِ الرَّحْمَنِ عَنْ مِسْمَعٍ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رْدِ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نٍ عَنْ أَبِ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الْمَرْجُومُ وَ الْمَرْجُومَةُ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غَسَّلَانِ وَ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حَنَّطَانِ وَ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لْبَسَانِ الْ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فَنَ قَبْلَ ذَلِ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ثُمَّ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رْجَمَانِ وَ 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صَلَّ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عَلَ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هِمَا</w:t>
      </w:r>
      <w:r w:rsidR="00950135" w:rsidRPr="00E83F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E83FB0">
        <w:rPr>
          <w:rFonts w:ascii="IRBadr" w:hAnsi="IRBadr" w:cs="IRBadr"/>
          <w:b/>
          <w:bCs/>
          <w:color w:val="000000" w:themeColor="text1"/>
          <w:sz w:val="28"/>
          <w:szCs w:val="28"/>
        </w:rPr>
        <w:t>‌</w:t>
      </w:r>
      <w:r w:rsidR="007E5D6A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7D3B0C" w:rsidRPr="00E83FB0" w:rsidRDefault="00AD13CD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ظاهر این روایت این است که این غسل و کفن همان غسل و کفنی است که برای اموات لازم است.</w:t>
      </w:r>
    </w:p>
    <w:p w:rsidR="007D3B0C" w:rsidRPr="00E83FB0" w:rsidRDefault="007D3B0C" w:rsidP="00950135">
      <w:pPr>
        <w:pStyle w:val="Heading3"/>
        <w:rPr>
          <w:rFonts w:ascii="IRBadr" w:hAnsi="IRBadr" w:cs="IRBadr"/>
          <w:rtl/>
        </w:rPr>
      </w:pPr>
      <w:bookmarkStart w:id="16" w:name="_Toc426026262"/>
      <w:r w:rsidRPr="00E83FB0">
        <w:rPr>
          <w:rFonts w:ascii="IRBadr" w:hAnsi="IRBadr" w:cs="IRBadr"/>
          <w:rtl/>
        </w:rPr>
        <w:t xml:space="preserve">شمول </w:t>
      </w:r>
      <w:r w:rsidR="00DC0466">
        <w:rPr>
          <w:rFonts w:ascii="IRBadr" w:hAnsi="IRBadr" w:cs="IRBadr"/>
          <w:rtl/>
        </w:rPr>
        <w:t>شرایط</w:t>
      </w:r>
      <w:r w:rsidRPr="00E83FB0">
        <w:rPr>
          <w:rFonts w:ascii="IRBadr" w:hAnsi="IRBadr" w:cs="IRBadr"/>
          <w:rtl/>
        </w:rPr>
        <w:t xml:space="preserve"> غسل میت در این باب</w:t>
      </w:r>
      <w:bookmarkEnd w:id="16"/>
    </w:p>
    <w:p w:rsidR="007D3B0C" w:rsidRPr="00E83FB0" w:rsidRDefault="007D3B0C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سؤال دیگری که در اینجا وجود دارد،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همه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ویژگی‌هایی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که برای غسل و حنوط و تکفین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اینجا وجود دارد؟</w:t>
      </w:r>
    </w:p>
    <w:p w:rsidR="007D3B0C" w:rsidRPr="00E83FB0" w:rsidRDefault="00AD13CD" w:rsidP="009501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FB0">
        <w:rPr>
          <w:rFonts w:ascii="IRBadr" w:hAnsi="IRBadr" w:cs="IRBadr"/>
          <w:sz w:val="28"/>
          <w:szCs w:val="28"/>
          <w:rtl/>
          <w:lang w:bidi="fa-IR"/>
        </w:rPr>
        <w:t>بعضی مثل مرحوم حاج رضا همدانی در کتاب طهارتشان احتمال دادند و تأکید کردند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 xml:space="preserve"> که؛ این غسل در اینجا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همان غسل با آب خالص 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 xml:space="preserve">به نحو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مثل سایر اغسال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E83FB0">
        <w:rPr>
          <w:rFonts w:ascii="IRBadr" w:hAnsi="IRBadr" w:cs="IRBadr"/>
          <w:sz w:val="28"/>
          <w:szCs w:val="28"/>
          <w:rtl/>
          <w:lang w:bidi="fa-IR"/>
        </w:rPr>
        <w:t>. نه آن غسلی که غسل میت است که سه بار است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 xml:space="preserve">. اما مشهور </w:t>
      </w:r>
      <w:r w:rsidR="00574AF3" w:rsidRPr="00E83FB0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>؛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 xml:space="preserve"> همان است و فرقی بین </w:t>
      </w:r>
      <w:r w:rsidR="00950135" w:rsidRPr="00E83FB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7D3B0C" w:rsidRPr="00E83FB0">
        <w:rPr>
          <w:rFonts w:ascii="IRBadr" w:hAnsi="IRBadr" w:cs="IRBadr"/>
          <w:sz w:val="28"/>
          <w:szCs w:val="28"/>
          <w:rtl/>
          <w:lang w:bidi="fa-IR"/>
        </w:rPr>
        <w:t xml:space="preserve"> وجود ندارد و ظاهر امر نیز همین قول دوم است.</w:t>
      </w:r>
    </w:p>
    <w:p w:rsidR="007D3B0C" w:rsidRPr="00E83FB0" w:rsidRDefault="007D3B0C" w:rsidP="007D3B0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E83FB0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E83FB0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B4" w:rsidRDefault="00E372B4" w:rsidP="000D5800">
      <w:pPr>
        <w:spacing w:after="0" w:line="240" w:lineRule="auto"/>
      </w:pPr>
      <w:r>
        <w:separator/>
      </w:r>
    </w:p>
  </w:endnote>
  <w:endnote w:type="continuationSeparator" w:id="0">
    <w:p w:rsidR="00E372B4" w:rsidRDefault="00E372B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B4" w:rsidRDefault="00E372B4" w:rsidP="00940ED1">
      <w:pPr>
        <w:bidi/>
        <w:spacing w:after="0" w:line="240" w:lineRule="auto"/>
      </w:pPr>
      <w:r>
        <w:separator/>
      </w:r>
    </w:p>
  </w:footnote>
  <w:footnote w:type="continuationSeparator" w:id="0">
    <w:p w:rsidR="00E372B4" w:rsidRDefault="00E372B4" w:rsidP="000D5800">
      <w:pPr>
        <w:spacing w:after="0" w:line="240" w:lineRule="auto"/>
      </w:pPr>
      <w:r>
        <w:continuationSeparator/>
      </w:r>
    </w:p>
  </w:footnote>
  <w:footnote w:id="1">
    <w:p w:rsidR="00D27C7D" w:rsidRPr="00DC0466" w:rsidRDefault="00D27C7D" w:rsidP="00DC0466">
      <w:pPr>
        <w:pStyle w:val="FootnoteText"/>
        <w:rPr>
          <w:rFonts w:ascii="IRBadr" w:hAnsi="IRBadr" w:cs="IRBadr"/>
          <w:b/>
          <w:bCs/>
        </w:rPr>
      </w:pPr>
      <w:r w:rsidRPr="00DC0466">
        <w:rPr>
          <w:rStyle w:val="FootnoteReference"/>
          <w:rFonts w:ascii="IRBadr" w:hAnsi="IRBadr" w:cs="IRBadr"/>
          <w:b/>
          <w:bCs/>
        </w:rPr>
        <w:footnoteRef/>
      </w:r>
      <w:r w:rsidR="00DC0466">
        <w:rPr>
          <w:rFonts w:ascii="IRBadr" w:hAnsi="IRBadr" w:cs="IRBadr" w:hint="cs"/>
          <w:b/>
          <w:bCs/>
          <w:rtl/>
        </w:rPr>
        <w:t xml:space="preserve">- </w:t>
      </w:r>
      <w:r w:rsidR="00574AF3" w:rsidRPr="00DC0466">
        <w:rPr>
          <w:rFonts w:ascii="IRBadr" w:hAnsi="IRBadr" w:cs="IRBadr"/>
          <w:b/>
          <w:bCs/>
          <w:color w:val="000000" w:themeColor="text1"/>
          <w:rtl/>
        </w:rPr>
        <w:t>وسایل</w:t>
      </w:r>
      <w:r w:rsidRPr="00DC0466">
        <w:rPr>
          <w:rFonts w:ascii="IRBadr" w:hAnsi="IRBadr" w:cs="IRBadr"/>
          <w:b/>
          <w:bCs/>
          <w:color w:val="000000" w:themeColor="text1"/>
          <w:rtl/>
        </w:rPr>
        <w:t xml:space="preserve"> الش</w:t>
      </w:r>
      <w:r w:rsidR="00950135" w:rsidRPr="00DC0466">
        <w:rPr>
          <w:rFonts w:ascii="IRBadr" w:hAnsi="IRBadr" w:cs="IRBadr"/>
          <w:b/>
          <w:bCs/>
          <w:color w:val="000000" w:themeColor="text1"/>
          <w:rtl/>
        </w:rPr>
        <w:t>ی</w:t>
      </w:r>
      <w:r w:rsidRPr="00DC0466">
        <w:rPr>
          <w:rFonts w:ascii="IRBadr" w:hAnsi="IRBadr" w:cs="IRBadr"/>
          <w:b/>
          <w:bCs/>
          <w:color w:val="000000" w:themeColor="text1"/>
          <w:rtl/>
        </w:rPr>
        <w:t xml:space="preserve">عة؛ </w:t>
      </w:r>
      <w:r w:rsidR="00950135" w:rsidRPr="00DC0466">
        <w:rPr>
          <w:rFonts w:ascii="IRBadr" w:hAnsi="IRBadr" w:cs="IRBadr"/>
          <w:b/>
          <w:bCs/>
          <w:color w:val="000000" w:themeColor="text1"/>
          <w:rtl/>
        </w:rPr>
        <w:t>ج 28</w:t>
      </w:r>
      <w:r w:rsidRPr="00DC0466">
        <w:rPr>
          <w:rFonts w:ascii="IRBadr" w:hAnsi="IRBadr" w:cs="IRBadr"/>
          <w:b/>
          <w:bCs/>
          <w:color w:val="000000" w:themeColor="text1"/>
          <w:rtl/>
        </w:rPr>
        <w:t>، ص: 107</w:t>
      </w:r>
      <w:r w:rsidR="00DC0466">
        <w:rPr>
          <w:rFonts w:ascii="IRBadr" w:hAnsi="IRBadr" w:cs="IRBadr" w:hint="cs"/>
          <w:b/>
          <w:bCs/>
          <w:rtl/>
        </w:rPr>
        <w:t>.</w:t>
      </w:r>
    </w:p>
  </w:footnote>
  <w:footnote w:id="2">
    <w:p w:rsidR="00D27C7D" w:rsidRPr="00DC0466" w:rsidRDefault="001A7DAE" w:rsidP="00DC0466">
      <w:pPr>
        <w:pStyle w:val="NormalWeb"/>
        <w:bidi/>
        <w:spacing w:before="0" w:beforeAutospacing="0" w:after="0" w:afterAutospacing="0"/>
        <w:ind w:firstLine="284"/>
        <w:jc w:val="both"/>
        <w:rPr>
          <w:rFonts w:ascii="IRBadr" w:hAnsi="IRBadr" w:cs="IRBadr" w:hint="cs"/>
          <w:b/>
          <w:bCs/>
          <w:color w:val="000000"/>
          <w:sz w:val="2"/>
          <w:szCs w:val="2"/>
          <w:rtl/>
        </w:rPr>
      </w:pPr>
      <w:r w:rsidRPr="00DC0466">
        <w:rPr>
          <w:rFonts w:ascii="IRBadr" w:hAnsi="IRBadr" w:cs="IRBadr"/>
          <w:b/>
          <w:bCs/>
          <w:sz w:val="20"/>
          <w:szCs w:val="20"/>
          <w:rtl/>
        </w:rPr>
        <w:t>2</w:t>
      </w:r>
      <w:r w:rsidR="00DC0466">
        <w:rPr>
          <w:rFonts w:ascii="IRBadr" w:hAnsi="IRBadr" w:cs="IRBadr" w:hint="cs"/>
          <w:b/>
          <w:bCs/>
          <w:sz w:val="20"/>
          <w:szCs w:val="20"/>
          <w:rtl/>
        </w:rPr>
        <w:t>-</w:t>
      </w:r>
      <w:r w:rsidR="00950135" w:rsidRPr="00DC0466">
        <w:rPr>
          <w:rFonts w:ascii="IRBadr" w:hAnsi="IRBadr" w:cs="IRBadr"/>
          <w:b/>
          <w:bCs/>
          <w:sz w:val="20"/>
          <w:szCs w:val="20"/>
          <w:rtl/>
        </w:rPr>
        <w:t xml:space="preserve"> کافی</w:t>
      </w:r>
      <w:r w:rsidRPr="00DC0466">
        <w:rPr>
          <w:rFonts w:ascii="IRBadr" w:hAnsi="IRBadr" w:cs="IRBadr"/>
          <w:b/>
          <w:bCs/>
          <w:color w:val="3232FA"/>
          <w:sz w:val="18"/>
          <w:szCs w:val="18"/>
          <w:rtl/>
        </w:rPr>
        <w:t xml:space="preserve"> </w:t>
      </w:r>
      <w:r w:rsidR="00D27C7D" w:rsidRPr="00DC0466">
        <w:rPr>
          <w:rFonts w:ascii="IRBadr" w:hAnsi="IRBadr" w:cs="IRBadr"/>
          <w:b/>
          <w:bCs/>
          <w:color w:val="000000" w:themeColor="text1"/>
          <w:sz w:val="20"/>
          <w:szCs w:val="20"/>
          <w:rtl/>
        </w:rPr>
        <w:t>(ط - الإسلام</w:t>
      </w:r>
      <w:r w:rsidR="00950135" w:rsidRPr="00DC0466">
        <w:rPr>
          <w:rFonts w:ascii="IRBadr" w:hAnsi="IRBadr" w:cs="IRBadr"/>
          <w:b/>
          <w:bCs/>
          <w:color w:val="000000" w:themeColor="text1"/>
          <w:sz w:val="20"/>
          <w:szCs w:val="20"/>
          <w:rtl/>
        </w:rPr>
        <w:t>ی</w:t>
      </w:r>
      <w:r w:rsidR="00D27C7D" w:rsidRPr="00DC0466">
        <w:rPr>
          <w:rFonts w:ascii="IRBadr" w:hAnsi="IRBadr" w:cs="IRBadr"/>
          <w:b/>
          <w:bCs/>
          <w:color w:val="000000" w:themeColor="text1"/>
          <w:sz w:val="20"/>
          <w:szCs w:val="20"/>
          <w:rtl/>
        </w:rPr>
        <w:t xml:space="preserve">ة)؛ </w:t>
      </w:r>
      <w:r w:rsidR="00950135" w:rsidRPr="00DC0466">
        <w:rPr>
          <w:rFonts w:ascii="IRBadr" w:hAnsi="IRBadr" w:cs="IRBadr"/>
          <w:b/>
          <w:bCs/>
          <w:color w:val="000000" w:themeColor="text1"/>
          <w:sz w:val="20"/>
          <w:szCs w:val="20"/>
          <w:rtl/>
        </w:rPr>
        <w:t>ج 3</w:t>
      </w:r>
      <w:r w:rsidR="00D27C7D" w:rsidRPr="00DC0466">
        <w:rPr>
          <w:rFonts w:ascii="IRBadr" w:hAnsi="IRBadr" w:cs="IRBadr"/>
          <w:b/>
          <w:bCs/>
          <w:color w:val="000000" w:themeColor="text1"/>
          <w:sz w:val="20"/>
          <w:szCs w:val="20"/>
          <w:rtl/>
        </w:rPr>
        <w:t>، ص: 214</w:t>
      </w:r>
      <w:r w:rsidR="00DC0466">
        <w:rPr>
          <w:rFonts w:ascii="IRBadr" w:hAnsi="IRBadr" w:cs="IRBadr" w:hint="cs"/>
          <w:b/>
          <w:bCs/>
          <w:color w:val="000000"/>
          <w:sz w:val="2"/>
          <w:szCs w:val="2"/>
          <w:rtl/>
        </w:rPr>
        <w:t>.</w:t>
      </w:r>
    </w:p>
  </w:footnote>
  <w:footnote w:id="3">
    <w:p w:rsidR="001A7DAE" w:rsidRPr="00DC0466" w:rsidRDefault="001A7DAE" w:rsidP="00DC0466">
      <w:pPr>
        <w:pStyle w:val="FootnoteText"/>
        <w:rPr>
          <w:rFonts w:ascii="IRBadr" w:hAnsi="IRBadr" w:cs="IRBadr"/>
          <w:b/>
          <w:bCs/>
        </w:rPr>
      </w:pPr>
      <w:r w:rsidRPr="00DC0466">
        <w:rPr>
          <w:rStyle w:val="FootnoteReference"/>
          <w:rFonts w:ascii="IRBadr" w:hAnsi="IRBadr" w:cs="IRBadr"/>
          <w:b/>
          <w:bCs/>
        </w:rPr>
        <w:footnoteRef/>
      </w:r>
      <w:r w:rsidR="00DC0466" w:rsidRPr="00DC0466">
        <w:rPr>
          <w:rFonts w:ascii="IRBadr" w:hAnsi="IRBadr" w:cs="IRBadr"/>
          <w:b/>
          <w:bCs/>
          <w:rtl/>
        </w:rPr>
        <w:t>- كامل الزيارات، النص، ص: 101.</w:t>
      </w:r>
    </w:p>
  </w:footnote>
  <w:footnote w:id="4">
    <w:p w:rsidR="007E5D6A" w:rsidRPr="007E5D6A" w:rsidRDefault="007E5D6A" w:rsidP="007E5D6A">
      <w:pPr>
        <w:pStyle w:val="NormalWeb"/>
        <w:bidi/>
        <w:spacing w:before="0" w:beforeAutospacing="0" w:after="0" w:afterAutospacing="0"/>
        <w:ind w:firstLine="284"/>
        <w:jc w:val="both"/>
        <w:rPr>
          <w:rFonts w:ascii="IRBadr" w:hAnsi="IRBadr" w:cs="IRBadr" w:hint="cs"/>
          <w:b/>
          <w:bCs/>
          <w:color w:val="000000"/>
          <w:sz w:val="2"/>
          <w:szCs w:val="2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DC0466">
        <w:rPr>
          <w:rFonts w:ascii="IRBadr" w:hAnsi="IRBadr" w:cs="IRBadr"/>
          <w:b/>
          <w:bCs/>
          <w:sz w:val="20"/>
          <w:szCs w:val="20"/>
          <w:rtl/>
        </w:rPr>
        <w:t>کافی</w:t>
      </w:r>
      <w:r w:rsidRPr="00DC0466">
        <w:rPr>
          <w:rFonts w:ascii="IRBadr" w:hAnsi="IRBadr" w:cs="IRBadr"/>
          <w:b/>
          <w:bCs/>
          <w:color w:val="3232FA"/>
          <w:sz w:val="18"/>
          <w:szCs w:val="18"/>
          <w:rtl/>
        </w:rPr>
        <w:t xml:space="preserve"> </w:t>
      </w:r>
      <w:bookmarkStart w:id="15" w:name="_GoBack"/>
      <w:bookmarkEnd w:id="15"/>
      <w:r w:rsidRPr="00DC0466">
        <w:rPr>
          <w:rFonts w:ascii="IRBadr" w:hAnsi="IRBadr" w:cs="IRBadr"/>
          <w:b/>
          <w:bCs/>
          <w:color w:val="000000" w:themeColor="text1"/>
          <w:sz w:val="20"/>
          <w:szCs w:val="20"/>
          <w:rtl/>
        </w:rPr>
        <w:t>(ط - الإسلامیة)؛ ج 3، ص: 214</w:t>
      </w:r>
      <w:r>
        <w:rPr>
          <w:rFonts w:ascii="IRBadr" w:hAnsi="IRBadr" w:cs="IRBadr" w:hint="cs"/>
          <w:b/>
          <w:bCs/>
          <w:color w:val="000000" w:themeColor="text1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AD13C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644AA7D" wp14:editId="234D615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14D60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  <w:lang w:bidi="fa-IR"/>
      </w:rPr>
      <w:drawing>
        <wp:inline distT="0" distB="0" distL="0" distR="0" wp14:anchorId="6A9D1276" wp14:editId="26DA255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95013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D13CD">
      <w:rPr>
        <w:rFonts w:ascii="IranNastaliq" w:hAnsi="IranNastaliq" w:cs="IranNastaliq" w:hint="cs"/>
        <w:sz w:val="40"/>
        <w:szCs w:val="40"/>
        <w:rtl/>
      </w:rPr>
      <w:t>781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C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7DAE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07B03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74AF3"/>
    <w:rsid w:val="00592103"/>
    <w:rsid w:val="005941DD"/>
    <w:rsid w:val="005A545E"/>
    <w:rsid w:val="005A5862"/>
    <w:rsid w:val="005B0852"/>
    <w:rsid w:val="005B3C8C"/>
    <w:rsid w:val="005C06AE"/>
    <w:rsid w:val="00610C18"/>
    <w:rsid w:val="00612385"/>
    <w:rsid w:val="0061376C"/>
    <w:rsid w:val="00636EFA"/>
    <w:rsid w:val="00641375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3B0C"/>
    <w:rsid w:val="007E03E9"/>
    <w:rsid w:val="007E04EE"/>
    <w:rsid w:val="007E5D6A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2CBB"/>
    <w:rsid w:val="008644F4"/>
    <w:rsid w:val="00876B99"/>
    <w:rsid w:val="00880FA3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40ED1"/>
    <w:rsid w:val="00950135"/>
    <w:rsid w:val="009613AC"/>
    <w:rsid w:val="00980643"/>
    <w:rsid w:val="009827AA"/>
    <w:rsid w:val="00983313"/>
    <w:rsid w:val="00986132"/>
    <w:rsid w:val="009B46BC"/>
    <w:rsid w:val="009B61C3"/>
    <w:rsid w:val="009C7B4F"/>
    <w:rsid w:val="009D2E2B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13CD"/>
    <w:rsid w:val="00AD27BE"/>
    <w:rsid w:val="00AF0F1A"/>
    <w:rsid w:val="00B06C07"/>
    <w:rsid w:val="00B15027"/>
    <w:rsid w:val="00B21CF4"/>
    <w:rsid w:val="00B22CD4"/>
    <w:rsid w:val="00B24300"/>
    <w:rsid w:val="00B273FB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3FA3"/>
    <w:rsid w:val="00C60D75"/>
    <w:rsid w:val="00C64CEA"/>
    <w:rsid w:val="00C73012"/>
    <w:rsid w:val="00C763DD"/>
    <w:rsid w:val="00C84FC0"/>
    <w:rsid w:val="00C9244A"/>
    <w:rsid w:val="00CB028A"/>
    <w:rsid w:val="00CB5DA3"/>
    <w:rsid w:val="00CC0777"/>
    <w:rsid w:val="00CE31E6"/>
    <w:rsid w:val="00CE3B74"/>
    <w:rsid w:val="00CF42E2"/>
    <w:rsid w:val="00CF7916"/>
    <w:rsid w:val="00D158F3"/>
    <w:rsid w:val="00D27C7D"/>
    <w:rsid w:val="00D3665C"/>
    <w:rsid w:val="00D508CC"/>
    <w:rsid w:val="00D50F4B"/>
    <w:rsid w:val="00D60547"/>
    <w:rsid w:val="00D66444"/>
    <w:rsid w:val="00D76353"/>
    <w:rsid w:val="00DA158A"/>
    <w:rsid w:val="00DB145B"/>
    <w:rsid w:val="00DB28BB"/>
    <w:rsid w:val="00DC0466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72B4"/>
    <w:rsid w:val="00E55891"/>
    <w:rsid w:val="00E6283A"/>
    <w:rsid w:val="00E732A3"/>
    <w:rsid w:val="00E83A85"/>
    <w:rsid w:val="00E83FB0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1D4C"/>
    <w:rsid w:val="00F40284"/>
    <w:rsid w:val="00F67976"/>
    <w:rsid w:val="00F70BE1"/>
    <w:rsid w:val="00F93DD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D13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27C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6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D13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27C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6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992D-915D-4797-B181-F6225D9F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151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21</cp:revision>
  <dcterms:created xsi:type="dcterms:W3CDTF">2014-12-20T10:11:00Z</dcterms:created>
  <dcterms:modified xsi:type="dcterms:W3CDTF">2015-08-15T06:03:00Z</dcterms:modified>
</cp:coreProperties>
</file>