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8" w:rsidRPr="00B95455" w:rsidRDefault="005C0924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F1668" w:rsidRPr="00B95455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1A13B2" w:rsidRPr="00B95455" w:rsidRDefault="001A13B2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95455" w:rsidRDefault="001A13B2" w:rsidP="00B9545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 w:rsidRPr="00B95455">
        <w:rPr>
          <w:rFonts w:ascii="IRBadr" w:hAnsi="IRBadr" w:cs="IRBadr"/>
          <w:sz w:val="28"/>
          <w:rtl/>
        </w:rPr>
        <w:fldChar w:fldCharType="begin"/>
      </w:r>
      <w:r w:rsidRPr="00B95455">
        <w:rPr>
          <w:rFonts w:ascii="IRBadr" w:hAnsi="IRBadr" w:cs="IRBadr"/>
          <w:sz w:val="28"/>
          <w:rtl/>
        </w:rPr>
        <w:instrText xml:space="preserve"> </w:instrText>
      </w:r>
      <w:r w:rsidRPr="00B95455">
        <w:rPr>
          <w:rFonts w:ascii="IRBadr" w:hAnsi="IRBadr" w:cs="IRBadr"/>
          <w:sz w:val="28"/>
        </w:rPr>
        <w:instrText>TOC</w:instrText>
      </w:r>
      <w:r w:rsidRPr="00B95455">
        <w:rPr>
          <w:rFonts w:ascii="IRBadr" w:hAnsi="IRBadr" w:cs="IRBadr"/>
          <w:sz w:val="28"/>
          <w:rtl/>
        </w:rPr>
        <w:instrText xml:space="preserve"> \</w:instrText>
      </w:r>
      <w:r w:rsidRPr="00B95455">
        <w:rPr>
          <w:rFonts w:ascii="IRBadr" w:hAnsi="IRBadr" w:cs="IRBadr"/>
          <w:sz w:val="28"/>
        </w:rPr>
        <w:instrText>o "</w:instrText>
      </w:r>
      <w:r w:rsidRPr="00B95455">
        <w:rPr>
          <w:rFonts w:ascii="IRBadr" w:hAnsi="IRBadr" w:cs="IRBadr"/>
          <w:sz w:val="28"/>
          <w:rtl/>
        </w:rPr>
        <w:instrText>1-4</w:instrText>
      </w:r>
      <w:r w:rsidRPr="00B95455">
        <w:rPr>
          <w:rFonts w:ascii="IRBadr" w:hAnsi="IRBadr" w:cs="IRBadr"/>
          <w:sz w:val="28"/>
        </w:rPr>
        <w:instrText>" \h \z \u</w:instrText>
      </w:r>
      <w:r w:rsidRPr="00B95455">
        <w:rPr>
          <w:rFonts w:ascii="IRBadr" w:hAnsi="IRBadr" w:cs="IRBadr"/>
          <w:sz w:val="28"/>
          <w:rtl/>
        </w:rPr>
        <w:instrText xml:space="preserve"> </w:instrText>
      </w:r>
      <w:r w:rsidRPr="00B95455">
        <w:rPr>
          <w:rFonts w:ascii="IRBadr" w:hAnsi="IRBadr" w:cs="IRBadr"/>
          <w:sz w:val="28"/>
          <w:rtl/>
        </w:rPr>
        <w:fldChar w:fldCharType="separate"/>
      </w:r>
      <w:hyperlink w:anchor="_Toc427398300" w:history="1"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تغس</w:t>
        </w:r>
        <w:r w:rsidR="00B95455"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ل</w:t>
        </w:r>
        <w:r w:rsidR="00B95455"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B95455"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تکف</w:t>
        </w:r>
        <w:r w:rsidR="00B95455"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B95455"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455" w:rsidRPr="00A26159">
          <w:rPr>
            <w:rStyle w:val="Hyperlink"/>
            <w:rFonts w:ascii="IRBadr" w:hAnsi="IRBadr" w:cs="IRBadr" w:hint="eastAsia"/>
            <w:noProof/>
            <w:rtl/>
          </w:rPr>
          <w:t>مرجوم</w:t>
        </w:r>
        <w:r w:rsidR="00B95455">
          <w:rPr>
            <w:noProof/>
            <w:webHidden/>
          </w:rPr>
          <w:tab/>
        </w:r>
        <w:r w:rsidR="00B95455">
          <w:rPr>
            <w:rStyle w:val="Hyperlink"/>
            <w:noProof/>
            <w:rtl/>
          </w:rPr>
          <w:fldChar w:fldCharType="begin"/>
        </w:r>
        <w:r w:rsidR="00B95455">
          <w:rPr>
            <w:noProof/>
            <w:webHidden/>
          </w:rPr>
          <w:instrText xml:space="preserve"> PAGEREF _Toc427398300 \h </w:instrText>
        </w:r>
        <w:r w:rsidR="00B95455">
          <w:rPr>
            <w:rStyle w:val="Hyperlink"/>
            <w:noProof/>
            <w:rtl/>
          </w:rPr>
        </w:r>
        <w:r w:rsidR="00B95455">
          <w:rPr>
            <w:rStyle w:val="Hyperlink"/>
            <w:noProof/>
            <w:rtl/>
          </w:rPr>
          <w:fldChar w:fldCharType="separate"/>
        </w:r>
        <w:r w:rsidR="00B95455">
          <w:rPr>
            <w:noProof/>
            <w:webHidden/>
          </w:rPr>
          <w:t>2</w:t>
        </w:r>
        <w:r w:rsidR="00B95455"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1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2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غسل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3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احتمالات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مسئله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4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5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مقابل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6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رد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شبهه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7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سرا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سا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موارد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قتل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398308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آراء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8309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قتل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به‌غ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راز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حد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_Toc427398309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8310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فرض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_Toc427398310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8311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مجر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زن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_Toc427398311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8312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A2615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A26159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_Toc427398312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95455" w:rsidRDefault="00B95455" w:rsidP="00B95455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398313" w:history="1">
        <w:r w:rsidRPr="00A26159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A26159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_Toc427398313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13B2" w:rsidRPr="00B95455" w:rsidRDefault="001A13B2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95455" w:rsidRDefault="00B95455" w:rsidP="00B95455">
      <w:pPr>
        <w:bidi/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>
        <w:rPr>
          <w:rFonts w:ascii="IRBadr" w:hAnsi="IRBadr" w:cs="IRBadr"/>
          <w:rtl/>
        </w:rPr>
        <w:br w:type="page"/>
      </w:r>
    </w:p>
    <w:p w:rsidR="0098777F" w:rsidRPr="00B95455" w:rsidRDefault="0098777F" w:rsidP="00B95455">
      <w:pPr>
        <w:pStyle w:val="Heading1"/>
        <w:rPr>
          <w:rFonts w:ascii="IRBadr" w:hAnsi="IRBadr" w:cs="IRBadr"/>
          <w:rtl/>
        </w:rPr>
      </w:pPr>
      <w:bookmarkStart w:id="0" w:name="_Toc427398300"/>
      <w:r w:rsidRPr="00B95455">
        <w:rPr>
          <w:rFonts w:ascii="IRBadr" w:hAnsi="IRBadr" w:cs="IRBadr"/>
          <w:rtl/>
        </w:rPr>
        <w:lastRenderedPageBreak/>
        <w:t>تغسیل و تکفین مرجوم</w:t>
      </w:r>
      <w:bookmarkEnd w:id="0"/>
    </w:p>
    <w:p w:rsidR="0098777F" w:rsidRPr="00B95455" w:rsidRDefault="0098777F" w:rsidP="00B95455">
      <w:pPr>
        <w:pStyle w:val="Heading1"/>
        <w:rPr>
          <w:rFonts w:ascii="IRBadr" w:hAnsi="IRBadr" w:cs="IRBadr"/>
          <w:rtl/>
        </w:rPr>
      </w:pPr>
      <w:bookmarkStart w:id="1" w:name="_Toc427398301"/>
      <w:r w:rsidRPr="00B95455">
        <w:rPr>
          <w:rFonts w:ascii="IRBadr" w:hAnsi="IRBadr" w:cs="IRBadr"/>
          <w:rtl/>
        </w:rPr>
        <w:t>مرور ب</w:t>
      </w:r>
      <w:bookmarkStart w:id="2" w:name="_GoBack"/>
      <w:bookmarkEnd w:id="2"/>
      <w:r w:rsidRPr="00B95455">
        <w:rPr>
          <w:rFonts w:ascii="IRBadr" w:hAnsi="IRBadr" w:cs="IRBadr"/>
          <w:rtl/>
        </w:rPr>
        <w:t>حث گذشته</w:t>
      </w:r>
      <w:bookmarkEnd w:id="1"/>
    </w:p>
    <w:p w:rsidR="0098777F" w:rsidRPr="00B95455" w:rsidRDefault="0098777F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در بحث گذشته بیان شد که ظاهر ادله این است که </w:t>
      </w:r>
      <w:r w:rsidR="00D9471E" w:rsidRPr="00B95455">
        <w:rPr>
          <w:rFonts w:ascii="IRBadr" w:hAnsi="IRBadr" w:cs="IRBadr"/>
          <w:sz w:val="28"/>
          <w:szCs w:val="28"/>
          <w:rtl/>
          <w:lang w:bidi="fa-IR"/>
        </w:rPr>
        <w:t xml:space="preserve">در تغسیل و تکفین مرجوم همان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شیوه‌ای</w:t>
      </w:r>
      <w:r w:rsidR="00D9471E" w:rsidRPr="00B95455">
        <w:rPr>
          <w:rFonts w:ascii="IRBadr" w:hAnsi="IRBadr" w:cs="IRBadr"/>
          <w:sz w:val="28"/>
          <w:szCs w:val="28"/>
          <w:rtl/>
          <w:lang w:bidi="fa-IR"/>
        </w:rPr>
        <w:t xml:space="preserve"> وجود دارد که در سایر اموات اجرا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9471E" w:rsidRPr="00B95455">
        <w:rPr>
          <w:rFonts w:ascii="IRBadr" w:hAnsi="IRBadr" w:cs="IRBadr"/>
          <w:sz w:val="28"/>
          <w:szCs w:val="28"/>
          <w:rtl/>
          <w:lang w:bidi="fa-IR"/>
        </w:rPr>
        <w:t>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="00D9471E" w:rsidRPr="00B95455">
        <w:rPr>
          <w:rFonts w:ascii="IRBadr" w:hAnsi="IRBadr" w:cs="IRBadr"/>
          <w:sz w:val="28"/>
          <w:szCs w:val="28"/>
          <w:rtl/>
          <w:lang w:bidi="fa-IR"/>
        </w:rPr>
        <w:t xml:space="preserve"> قول در این زمینه وجود داشت که ذکر شد و مبنا بر این شد که صحیح قول مشهور مبتنی بر عدم فرق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D9471E" w:rsidRPr="00B9545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777F" w:rsidRPr="00B95455" w:rsidRDefault="00D9471E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در فرع بعدی بیان شد که </w:t>
      </w:r>
      <w:r w:rsidR="00B95455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ظاهر ادله استفاده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، بعد از اجرای رجم لازم نیست،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مرجوم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دوباره مورد تغسیل و تکفین قرار بگیرد.</w:t>
      </w:r>
    </w:p>
    <w:p w:rsidR="0098777F" w:rsidRPr="00B95455" w:rsidRDefault="00D9471E" w:rsidP="00B95455">
      <w:pPr>
        <w:pStyle w:val="Heading2"/>
        <w:rPr>
          <w:rFonts w:ascii="IRBadr" w:hAnsi="IRBadr" w:cs="IRBadr"/>
          <w:rtl/>
        </w:rPr>
      </w:pPr>
      <w:bookmarkStart w:id="3" w:name="_Toc427398302"/>
      <w:r w:rsidRPr="00B95455">
        <w:rPr>
          <w:rFonts w:ascii="IRBadr" w:hAnsi="IRBadr" w:cs="IRBadr"/>
          <w:rtl/>
        </w:rPr>
        <w:t>نیت غسل</w:t>
      </w:r>
      <w:bookmarkEnd w:id="3"/>
    </w:p>
    <w:p w:rsidR="003D71EC" w:rsidRPr="00B95455" w:rsidRDefault="003D71EC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نکته دیگری که در اینجا </w:t>
      </w:r>
      <w:r w:rsidR="00B95455">
        <w:rPr>
          <w:rFonts w:ascii="IRBadr" w:hAnsi="IRBadr" w:cs="IRBadr"/>
          <w:sz w:val="28"/>
          <w:szCs w:val="28"/>
          <w:rtl/>
          <w:lang w:bidi="fa-IR"/>
        </w:rPr>
        <w:t>وجود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دارد،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که نیت باید از جانب چه کسی باشد؟</w:t>
      </w:r>
    </w:p>
    <w:p w:rsidR="003D71EC" w:rsidRPr="00B95455" w:rsidRDefault="003D71EC" w:rsidP="00B95455">
      <w:pPr>
        <w:pStyle w:val="Heading2"/>
        <w:rPr>
          <w:rFonts w:ascii="IRBadr" w:hAnsi="IRBadr" w:cs="IRBadr"/>
          <w:rtl/>
        </w:rPr>
      </w:pPr>
      <w:bookmarkStart w:id="4" w:name="_Toc427398303"/>
      <w:r w:rsidRPr="00B95455">
        <w:rPr>
          <w:rFonts w:ascii="IRBadr" w:hAnsi="IRBadr" w:cs="IRBadr"/>
          <w:rtl/>
        </w:rPr>
        <w:t xml:space="preserve">احتمالات در </w:t>
      </w:r>
      <w:r w:rsidR="005C0924" w:rsidRPr="00B95455">
        <w:rPr>
          <w:rFonts w:ascii="IRBadr" w:hAnsi="IRBadr" w:cs="IRBadr"/>
          <w:rtl/>
        </w:rPr>
        <w:t>مسئله</w:t>
      </w:r>
      <w:bookmarkEnd w:id="4"/>
    </w:p>
    <w:p w:rsidR="003D71EC" w:rsidRPr="00B95455" w:rsidRDefault="003D71EC" w:rsidP="00B95455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95455">
        <w:rPr>
          <w:rFonts w:ascii="IRBadr" w:hAnsi="IRBadr" w:cs="IRBadr"/>
          <w:sz w:val="28"/>
          <w:szCs w:val="28"/>
          <w:rtl/>
        </w:rPr>
        <w:t xml:space="preserve">برخی احتمال دادند که نیت باید از جانب حاکم و کسی که امر به غسل </w:t>
      </w:r>
      <w:r w:rsidR="001008A8" w:rsidRPr="00B95455">
        <w:rPr>
          <w:rFonts w:ascii="IRBadr" w:hAnsi="IRBadr" w:cs="IRBadr"/>
          <w:sz w:val="28"/>
          <w:szCs w:val="28"/>
          <w:rtl/>
        </w:rPr>
        <w:t>می‌کند</w:t>
      </w:r>
      <w:r w:rsidRPr="00B95455">
        <w:rPr>
          <w:rFonts w:ascii="IRBadr" w:hAnsi="IRBadr" w:cs="IRBadr"/>
          <w:sz w:val="28"/>
          <w:szCs w:val="28"/>
          <w:rtl/>
        </w:rPr>
        <w:t xml:space="preserve"> صورت بگیرد و واداشتن حاکم به نیت و مسائل مربوط از باب </w:t>
      </w:r>
      <w:r w:rsidR="005C0924" w:rsidRPr="00B95455">
        <w:rPr>
          <w:rFonts w:ascii="IRBadr" w:hAnsi="IRBadr" w:cs="IRBadr"/>
          <w:sz w:val="28"/>
          <w:szCs w:val="28"/>
          <w:rtl/>
        </w:rPr>
        <w:t>امربه‌معروف</w:t>
      </w:r>
      <w:r w:rsidRPr="00B95455">
        <w:rPr>
          <w:rFonts w:ascii="IRBadr" w:hAnsi="IRBadr" w:cs="IRBadr"/>
          <w:sz w:val="28"/>
          <w:szCs w:val="28"/>
          <w:rtl/>
        </w:rPr>
        <w:t xml:space="preserve"> و ارشاد جاهل است نه اینکه </w:t>
      </w:r>
      <w:r w:rsidR="001008A8" w:rsidRPr="00B95455">
        <w:rPr>
          <w:rFonts w:ascii="IRBadr" w:hAnsi="IRBadr" w:cs="IRBadr"/>
          <w:sz w:val="28"/>
          <w:szCs w:val="28"/>
          <w:rtl/>
        </w:rPr>
        <w:t>حقیقتاً</w:t>
      </w:r>
      <w:r w:rsidRPr="00B95455">
        <w:rPr>
          <w:rFonts w:ascii="IRBadr" w:hAnsi="IRBadr" w:cs="IRBadr"/>
          <w:sz w:val="28"/>
          <w:szCs w:val="28"/>
          <w:rtl/>
        </w:rPr>
        <w:t>،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</w:rPr>
        <w:t xml:space="preserve"> امر وظیفه او بوده باشد.</w:t>
      </w:r>
    </w:p>
    <w:p w:rsidR="003D71EC" w:rsidRPr="00B95455" w:rsidRDefault="003D71EC" w:rsidP="00B95455">
      <w:pPr>
        <w:pStyle w:val="Heading2"/>
        <w:rPr>
          <w:rFonts w:ascii="IRBadr" w:hAnsi="IRBadr" w:cs="IRBadr"/>
          <w:rtl/>
        </w:rPr>
      </w:pPr>
      <w:bookmarkStart w:id="5" w:name="_Toc427398304"/>
      <w:r w:rsidRPr="00B95455">
        <w:rPr>
          <w:rFonts w:ascii="IRBadr" w:hAnsi="IRBadr" w:cs="IRBadr"/>
          <w:rtl/>
        </w:rPr>
        <w:t>اتخاذ مبنا</w:t>
      </w:r>
      <w:bookmarkEnd w:id="5"/>
    </w:p>
    <w:p w:rsidR="003D71EC" w:rsidRPr="00B95455" w:rsidRDefault="00B9545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بیشتر به ذهن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 است که چون فرد صاحب اراده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>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خود او نیت را انجام دهد،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حقیقتاً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از جانب او عذری بوده باشد.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3D71EC" w:rsidRPr="00B95455">
        <w:rPr>
          <w:rFonts w:ascii="IRBadr" w:hAnsi="IRBadr" w:cs="IRBadr"/>
          <w:sz w:val="28"/>
          <w:szCs w:val="28"/>
          <w:rtl/>
          <w:lang w:bidi="fa-IR"/>
        </w:rPr>
        <w:t xml:space="preserve"> وقتی فردی شرایط تکلیف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رادار است</w:t>
      </w:r>
      <w:r w:rsidR="00452F1B" w:rsidRPr="00B95455">
        <w:rPr>
          <w:rFonts w:ascii="IRBadr" w:hAnsi="IRBadr" w:cs="IRBadr"/>
          <w:sz w:val="28"/>
          <w:szCs w:val="28"/>
          <w:rtl/>
          <w:lang w:bidi="fa-IR"/>
        </w:rPr>
        <w:t>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عرفا</w:t>
      </w:r>
      <w:r w:rsidR="00452F1B" w:rsidRPr="00B95455">
        <w:rPr>
          <w:rFonts w:ascii="IRBadr" w:hAnsi="IRBadr" w:cs="IRBadr"/>
          <w:sz w:val="28"/>
          <w:szCs w:val="28"/>
          <w:rtl/>
          <w:lang w:bidi="fa-IR"/>
        </w:rPr>
        <w:t xml:space="preserve"> علی الاتفاق حکم این است که خود او باید در این موضع نیت انجام دهد.</w:t>
      </w:r>
    </w:p>
    <w:p w:rsidR="00452F1B" w:rsidRPr="00B95455" w:rsidRDefault="00452F1B" w:rsidP="00B95455">
      <w:pPr>
        <w:pStyle w:val="Heading2"/>
        <w:rPr>
          <w:rFonts w:ascii="IRBadr" w:hAnsi="IRBadr" w:cs="IRBadr"/>
          <w:rtl/>
        </w:rPr>
      </w:pPr>
      <w:bookmarkStart w:id="6" w:name="_Toc427398305"/>
      <w:r w:rsidRPr="00B95455">
        <w:rPr>
          <w:rFonts w:ascii="IRBadr" w:hAnsi="IRBadr" w:cs="IRBadr"/>
          <w:rtl/>
        </w:rPr>
        <w:t>مبنای مقابل</w:t>
      </w:r>
      <w:bookmarkEnd w:id="6"/>
    </w:p>
    <w:p w:rsidR="00452F1B" w:rsidRPr="00B95455" w:rsidRDefault="00452F1B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 اصل در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برای اخذ مبنای مقابل نیاز به دلیلی خاص وجود دارد که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ظهور روایت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را اخذ کردند که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می‌فرمود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«یغسلان» و در آن تعبیر به «یغتسلان» نشده بود.</w:t>
      </w:r>
    </w:p>
    <w:p w:rsidR="00452F1B" w:rsidRPr="00B95455" w:rsidRDefault="00452F1B" w:rsidP="00B95455">
      <w:pPr>
        <w:pStyle w:val="Heading2"/>
        <w:rPr>
          <w:rFonts w:ascii="IRBadr" w:hAnsi="IRBadr" w:cs="IRBadr"/>
          <w:rtl/>
        </w:rPr>
      </w:pPr>
      <w:bookmarkStart w:id="7" w:name="_Toc427398306"/>
      <w:r w:rsidRPr="00B95455">
        <w:rPr>
          <w:rFonts w:ascii="IRBadr" w:hAnsi="IRBadr" w:cs="IRBadr"/>
          <w:rtl/>
        </w:rPr>
        <w:lastRenderedPageBreak/>
        <w:t>رد شبهه فوق</w:t>
      </w:r>
      <w:bookmarkEnd w:id="7"/>
    </w:p>
    <w:p w:rsidR="00452F1B" w:rsidRPr="00B95455" w:rsidRDefault="00452F1B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در مقابل این شبهه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همان جواب سابق را مطرح نمود که؛ با توجه به اینکه او فاعلی مختار است و این فعل به صورتی اختیاری از او سر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، جمله روایت در این ظهور پیدا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که این فعل فرد دیگری است و او در معرض فعل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52F1B" w:rsidRPr="00B95455" w:rsidRDefault="00452F1B" w:rsidP="00B95455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95455">
        <w:rPr>
          <w:rFonts w:ascii="IRBadr" w:hAnsi="IRBadr" w:cs="IRBadr"/>
          <w:sz w:val="28"/>
          <w:szCs w:val="28"/>
          <w:rtl/>
        </w:rPr>
        <w:t>اما اگر این قرینه خارجی نبود،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بعید</w:t>
      </w:r>
      <w:r w:rsidRPr="00B95455">
        <w:rPr>
          <w:rFonts w:ascii="IRBadr" w:hAnsi="IRBadr" w:cs="IRBadr"/>
          <w:sz w:val="28"/>
          <w:szCs w:val="28"/>
          <w:rtl/>
        </w:rPr>
        <w:t xml:space="preserve"> نبود که احتمال صاحب جواهر رجحان پیدا کند.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پس</w:t>
      </w:r>
      <w:r w:rsidRPr="00B95455">
        <w:rPr>
          <w:rFonts w:ascii="IRBadr" w:hAnsi="IRBadr" w:cs="IRBadr"/>
          <w:sz w:val="28"/>
          <w:szCs w:val="28"/>
          <w:rtl/>
        </w:rPr>
        <w:t xml:space="preserve"> با توجه به قرینه لبیه موجود،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شخص</w:t>
      </w:r>
      <w:r w:rsidRPr="00B95455">
        <w:rPr>
          <w:rFonts w:ascii="IRBadr" w:hAnsi="IRBadr" w:cs="IRBadr"/>
          <w:sz w:val="28"/>
          <w:szCs w:val="28"/>
          <w:rtl/>
        </w:rPr>
        <w:t xml:space="preserve"> مرجوم؛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بالغ</w:t>
      </w:r>
      <w:r w:rsidRPr="00B95455">
        <w:rPr>
          <w:rFonts w:ascii="IRBadr" w:hAnsi="IRBadr" w:cs="IRBadr"/>
          <w:sz w:val="28"/>
          <w:szCs w:val="28"/>
          <w:rtl/>
        </w:rPr>
        <w:t>،</w:t>
      </w:r>
      <w:r w:rsidR="001008A8" w:rsidRPr="00B95455">
        <w:rPr>
          <w:rFonts w:ascii="IRBadr" w:hAnsi="IRBadr" w:cs="IRBadr"/>
          <w:sz w:val="28"/>
          <w:szCs w:val="28"/>
          <w:rtl/>
        </w:rPr>
        <w:t xml:space="preserve"> عاقل</w:t>
      </w:r>
      <w:r w:rsidRPr="00B95455">
        <w:rPr>
          <w:rFonts w:ascii="IRBadr" w:hAnsi="IRBadr" w:cs="IRBadr"/>
          <w:sz w:val="28"/>
          <w:szCs w:val="28"/>
          <w:rtl/>
        </w:rPr>
        <w:t xml:space="preserve"> و مختار است لذا چون او فاعل فعل است باید خود او نیت را </w:t>
      </w:r>
      <w:r w:rsidR="005C0924" w:rsidRPr="00B95455">
        <w:rPr>
          <w:rFonts w:ascii="IRBadr" w:hAnsi="IRBadr" w:cs="IRBadr"/>
          <w:sz w:val="28"/>
          <w:szCs w:val="28"/>
          <w:rtl/>
        </w:rPr>
        <w:t>به‌جای</w:t>
      </w:r>
      <w:r w:rsidRPr="00B95455">
        <w:rPr>
          <w:rFonts w:ascii="IRBadr" w:hAnsi="IRBadr" w:cs="IRBadr"/>
          <w:sz w:val="28"/>
          <w:szCs w:val="28"/>
          <w:rtl/>
        </w:rPr>
        <w:t xml:space="preserve"> آورد.</w:t>
      </w:r>
    </w:p>
    <w:p w:rsidR="00452F1B" w:rsidRPr="00B95455" w:rsidRDefault="00452F1B" w:rsidP="00B95455">
      <w:pPr>
        <w:pStyle w:val="Heading2"/>
        <w:rPr>
          <w:rFonts w:ascii="IRBadr" w:hAnsi="IRBadr" w:cs="IRBadr"/>
          <w:rtl/>
        </w:rPr>
      </w:pPr>
      <w:bookmarkStart w:id="8" w:name="_Toc427398307"/>
      <w:r w:rsidRPr="00B95455">
        <w:rPr>
          <w:rFonts w:ascii="IRBadr" w:hAnsi="IRBadr" w:cs="IRBadr"/>
          <w:rtl/>
        </w:rPr>
        <w:t>سرایت حکم به سایر موارد قتل</w:t>
      </w:r>
      <w:bookmarkEnd w:id="8"/>
    </w:p>
    <w:p w:rsidR="00452F1B" w:rsidRPr="00B95455" w:rsidRDefault="00452F1B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سؤال بعدی که در این باب وجود دارد،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که آیا این حکم به سایر موارد از قتل نیز تسری پیدا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؟</w:t>
      </w:r>
      <w:r w:rsidR="00AF3184"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AF3184"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زنای با محارم یا لواط و ...که حکم در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F3184" w:rsidRPr="00B95455">
        <w:rPr>
          <w:rFonts w:ascii="IRBadr" w:hAnsi="IRBadr" w:cs="IRBadr"/>
          <w:sz w:val="28"/>
          <w:szCs w:val="28"/>
          <w:rtl/>
          <w:lang w:bidi="fa-IR"/>
        </w:rPr>
        <w:t xml:space="preserve"> قتل است،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AF3184" w:rsidRPr="00B95455">
        <w:rPr>
          <w:rFonts w:ascii="IRBadr" w:hAnsi="IRBadr" w:cs="IRBadr"/>
          <w:sz w:val="28"/>
          <w:szCs w:val="28"/>
          <w:rtl/>
          <w:lang w:bidi="fa-IR"/>
        </w:rPr>
        <w:t xml:space="preserve"> مشابه خواهد بود؟</w:t>
      </w:r>
    </w:p>
    <w:p w:rsidR="00AF3184" w:rsidRPr="00B95455" w:rsidRDefault="00AF3184" w:rsidP="00B95455">
      <w:pPr>
        <w:pStyle w:val="Heading2"/>
        <w:rPr>
          <w:rFonts w:ascii="IRBadr" w:hAnsi="IRBadr" w:cs="IRBadr"/>
          <w:rtl/>
        </w:rPr>
      </w:pPr>
      <w:bookmarkStart w:id="9" w:name="_Toc427398308"/>
      <w:r w:rsidRPr="00B95455">
        <w:rPr>
          <w:rFonts w:ascii="IRBadr" w:hAnsi="IRBadr" w:cs="IRBadr"/>
          <w:rtl/>
        </w:rPr>
        <w:t>آراء در این مقام</w:t>
      </w:r>
      <w:bookmarkEnd w:id="9"/>
    </w:p>
    <w:p w:rsidR="00AF3184" w:rsidRPr="00B95455" w:rsidRDefault="00AF3184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ممکن است کسی ادعا کند که این حکم از باب القای خصوصیت سرایت پیدا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به سایر موارد از قتل،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نقطه مقابل فقها فرمودند،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سرایت حکم است،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اینجا مناط قطعی لازم برای القای خصوصیت در دسترس نیست. ممکن است اختلافات خفیفی در میان باشد که مانع از این تسری حکمی شود.</w:t>
      </w:r>
    </w:p>
    <w:p w:rsidR="00AF3184" w:rsidRPr="00B95455" w:rsidRDefault="00AF3184" w:rsidP="00B95455">
      <w:pPr>
        <w:pStyle w:val="Heading3"/>
        <w:rPr>
          <w:rFonts w:ascii="IRBadr" w:hAnsi="IRBadr" w:cs="IRBadr"/>
          <w:rtl/>
        </w:rPr>
      </w:pPr>
      <w:bookmarkStart w:id="10" w:name="_Toc427398309"/>
      <w:r w:rsidRPr="00B95455">
        <w:rPr>
          <w:rFonts w:ascii="IRBadr" w:hAnsi="IRBadr" w:cs="IRBadr"/>
          <w:rtl/>
        </w:rPr>
        <w:t xml:space="preserve">قتل </w:t>
      </w:r>
      <w:r w:rsidR="005C0924" w:rsidRPr="00B95455">
        <w:rPr>
          <w:rFonts w:ascii="IRBadr" w:hAnsi="IRBadr" w:cs="IRBadr"/>
          <w:rtl/>
        </w:rPr>
        <w:t>به‌غیراز</w:t>
      </w:r>
      <w:r w:rsidRPr="00B95455">
        <w:rPr>
          <w:rFonts w:ascii="IRBadr" w:hAnsi="IRBadr" w:cs="IRBadr"/>
          <w:rtl/>
        </w:rPr>
        <w:t xml:space="preserve"> حد</w:t>
      </w:r>
      <w:bookmarkEnd w:id="10"/>
    </w:p>
    <w:p w:rsidR="00AF3184" w:rsidRPr="00B95455" w:rsidRDefault="00AF3184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فرع دیگری که در این میان مطرح است،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که اگر فرد بعد از تغسیل به دلیلی غیر از اجرای حد جان خود را از دست داد؛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خواه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سکته یا علل دیگر،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این مورد کفایت از قتل قصاصی خواهد نمود یا خیر؟</w:t>
      </w:r>
    </w:p>
    <w:p w:rsidR="00AF3184" w:rsidRPr="00B95455" w:rsidRDefault="00AF3184" w:rsidP="00B95455">
      <w:pPr>
        <w:pStyle w:val="Heading3"/>
        <w:rPr>
          <w:rFonts w:ascii="IRBadr" w:hAnsi="IRBadr" w:cs="IRBadr"/>
          <w:rtl/>
        </w:rPr>
      </w:pPr>
      <w:bookmarkStart w:id="11" w:name="_Toc427398310"/>
      <w:r w:rsidRPr="00B95455">
        <w:rPr>
          <w:rFonts w:ascii="IRBadr" w:hAnsi="IRBadr" w:cs="IRBadr"/>
          <w:rtl/>
        </w:rPr>
        <w:t>حکم فرض فوق</w:t>
      </w:r>
      <w:bookmarkEnd w:id="11"/>
    </w:p>
    <w:p w:rsidR="00AF3184" w:rsidRPr="00B95455" w:rsidRDefault="00276D18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پاسخ همه فقها این بوده خیر،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کفایت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 قتل عنوان جرم روی آن صدق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و در این فرض،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اثری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نیز بر آن مترتب نخواهد شد.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کفایت تغسیل در پی عنوانی متأخر بود که همان قتل به سبب رجم باشد و زمانی که آن عنوان منتفی شد،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کفایت نیز منتفی خواهد شد.</w:t>
      </w:r>
    </w:p>
    <w:p w:rsidR="00276D18" w:rsidRPr="00B95455" w:rsidRDefault="00276D18" w:rsidP="00B95455">
      <w:pPr>
        <w:pStyle w:val="Heading4"/>
        <w:ind w:firstLine="0"/>
        <w:rPr>
          <w:rFonts w:ascii="IRBadr" w:hAnsi="IRBadr" w:cs="IRBadr"/>
          <w:rtl/>
        </w:rPr>
      </w:pPr>
      <w:bookmarkStart w:id="12" w:name="_Toc427398311"/>
      <w:r w:rsidRPr="00B95455">
        <w:rPr>
          <w:rFonts w:ascii="IRBadr" w:hAnsi="IRBadr" w:cs="IRBadr"/>
          <w:rtl/>
        </w:rPr>
        <w:lastRenderedPageBreak/>
        <w:t>مجری زن</w:t>
      </w:r>
      <w:bookmarkEnd w:id="12"/>
    </w:p>
    <w:p w:rsidR="00276D18" w:rsidRPr="00B95455" w:rsidRDefault="00276D18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فرع دیگری که وجود دارد،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که آیا مجری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زن باشد؟</w:t>
      </w:r>
    </w:p>
    <w:p w:rsidR="00276D18" w:rsidRPr="00B95455" w:rsidRDefault="005C0924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فقه عامه به نحوی بدون اختلاف،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به عدم امکان 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این دلیل بدین امر است که مذاق شرع در 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موارد چندان با مجری بودن زن همراه نیست.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حکم در الفقه علی المذاهب الاربعة ذکر شد و در کتب شیعه کمتر بدان 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پرداخته‌شده</w:t>
      </w:r>
      <w:r w:rsidR="00276D18"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76D18" w:rsidRPr="00B95455" w:rsidRDefault="00276D18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مرحوم آقای گلپایگانی در درالنظیر در اواخر جلد یک مقداری از آن بحث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و تأکید بر این دارند که مذاق شرع با این امر همخوانی ندارد.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ظاهر کلام ایشان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مطلق این است که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اصلاً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زنان در اجرای حد نباید شرکت داشته باشند.</w:t>
      </w:r>
    </w:p>
    <w:p w:rsidR="00276D18" w:rsidRPr="00B95455" w:rsidRDefault="00254EA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این مورد از مواردی است که فقها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دلیل لفظی چندانی بر آن وجود ندارد و فقها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بر همین دلیل مذاق شرع تکیه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احیاناً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به مواردی نیز درباره زن از سیره تمسک کرده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که ظاهر روایات موجود در باب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سی‌ودو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حدود این است که امام برای اجرای حد مردم را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فراخواندند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که در ظاهر همه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مرد بودند.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ظهور روایات حد در مرد بودن مجری دلیل دوم و ادله در ثبوت رجم نیز که تأخر یا تقدم بین امام و مردم قائل بود،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آنجا نیز واضح است که امام مرد است و بینه نیز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غالباً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مرد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54EA5" w:rsidRPr="00B95455" w:rsidRDefault="00254EA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طبق ظاهر برخی کلمات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منظور شرع این است که زن اگر در خانه بماند و در کارهای اجتماعی بدین منوال شرکت نکند بهتر است.</w:t>
      </w:r>
    </w:p>
    <w:p w:rsidR="00254EA5" w:rsidRPr="00B95455" w:rsidRDefault="00254EA5" w:rsidP="00B95455">
      <w:pPr>
        <w:pStyle w:val="Heading4"/>
        <w:ind w:firstLine="0"/>
        <w:rPr>
          <w:rFonts w:ascii="IRBadr" w:hAnsi="IRBadr" w:cs="IRBadr"/>
          <w:rtl/>
        </w:rPr>
      </w:pPr>
      <w:bookmarkStart w:id="13" w:name="_Toc427398312"/>
      <w:r w:rsidRPr="00B95455">
        <w:rPr>
          <w:rFonts w:ascii="IRBadr" w:hAnsi="IRBadr" w:cs="IRBadr"/>
          <w:rtl/>
        </w:rPr>
        <w:t>اتخاذ مبنا</w:t>
      </w:r>
      <w:bookmarkEnd w:id="13"/>
    </w:p>
    <w:p w:rsidR="00254EA5" w:rsidRPr="00B95455" w:rsidRDefault="00254EA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بسیار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پراهمیت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که استخراج شود، مذاق شرعی که بدان استدلال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تا چه حدی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است؟ اما آنچه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مسلم است،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بوده که مبانی نباید مشوب به استحسان شود و برای رسیدن به مذاق شرع باید به دلیلی معتبر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Pr="00B95455">
        <w:rPr>
          <w:rFonts w:ascii="IRBadr" w:hAnsi="IRBadr" w:cs="IRBadr"/>
          <w:sz w:val="28"/>
          <w:szCs w:val="28"/>
          <w:rtl/>
          <w:lang w:bidi="fa-IR"/>
        </w:rPr>
        <w:t xml:space="preserve"> تا به استحسان و مصالح مرسله ای که در اصول عامه وجود دارد، فقه ما مبتلا نشود.</w:t>
      </w:r>
    </w:p>
    <w:p w:rsidR="00254EA5" w:rsidRPr="00B95455" w:rsidRDefault="005C0924" w:rsidP="00B95455">
      <w:pPr>
        <w:pStyle w:val="Heading4"/>
        <w:ind w:firstLine="0"/>
        <w:rPr>
          <w:rFonts w:ascii="IRBadr" w:hAnsi="IRBadr" w:cs="IRBadr"/>
          <w:rtl/>
        </w:rPr>
      </w:pPr>
      <w:bookmarkStart w:id="14" w:name="_Toc427398313"/>
      <w:r w:rsidRPr="00B95455">
        <w:rPr>
          <w:rFonts w:ascii="IRBadr" w:hAnsi="IRBadr" w:cs="IRBadr"/>
          <w:rtl/>
        </w:rPr>
        <w:t>جمع‌بندی</w:t>
      </w:r>
      <w:bookmarkEnd w:id="14"/>
    </w:p>
    <w:p w:rsidR="00254EA5" w:rsidRPr="00B95455" w:rsidRDefault="00B9545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54EA5" w:rsidRPr="00B95455">
        <w:rPr>
          <w:rFonts w:ascii="IRBadr" w:hAnsi="IRBadr" w:cs="IRBadr"/>
          <w:sz w:val="28"/>
          <w:szCs w:val="28"/>
          <w:rtl/>
          <w:lang w:bidi="fa-IR"/>
        </w:rPr>
        <w:t xml:space="preserve"> نسبت به مذاق شرع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254EA5" w:rsidRPr="00B95455">
        <w:rPr>
          <w:rFonts w:ascii="IRBadr" w:hAnsi="IRBadr" w:cs="IRBadr"/>
          <w:sz w:val="28"/>
          <w:szCs w:val="28"/>
          <w:rtl/>
          <w:lang w:bidi="fa-IR"/>
        </w:rPr>
        <w:t xml:space="preserve"> باید اطمینانی حاصل شود و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اینکه اگر مذاق نیز بدین نحو باشد،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بیش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از کراهت را افاده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نمی‌دهد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>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دیگری که در باب بینه نقل شد نیز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به‌هیچ‌وجه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نافی حضور زن نیست و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اثبات امر دیگری است.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بر آن اگر این مذاق اثبات شود برای جایی است که زن نباشد،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الا اوفق این است که زن مجری رجم قرار گیرد.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در استدلالات </w:t>
      </w:r>
      <w:r w:rsidR="005C0924" w:rsidRPr="00B95455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وجوهی از خدشه مطرح است و در مجری بودن زن، مانعی وجود ندارد،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است کراهتی اثبات شود و </w:t>
      </w:r>
      <w:r w:rsidR="001008A8" w:rsidRPr="00B95455">
        <w:rPr>
          <w:rFonts w:ascii="IRBadr" w:hAnsi="IRBadr" w:cs="IRBadr"/>
          <w:sz w:val="28"/>
          <w:szCs w:val="28"/>
          <w:rtl/>
          <w:lang w:bidi="fa-IR"/>
        </w:rPr>
        <w:t>نمی‌توانم</w:t>
      </w:r>
      <w:r w:rsidR="00C44C73" w:rsidRPr="00B95455">
        <w:rPr>
          <w:rFonts w:ascii="IRBadr" w:hAnsi="IRBadr" w:cs="IRBadr"/>
          <w:sz w:val="28"/>
          <w:szCs w:val="28"/>
          <w:rtl/>
          <w:lang w:bidi="fa-IR"/>
        </w:rPr>
        <w:t xml:space="preserve"> آن را نفی کنم اما این ارتباطی با عدم جواز ندارد.</w:t>
      </w:r>
    </w:p>
    <w:p w:rsidR="00254EA5" w:rsidRPr="00B95455" w:rsidRDefault="00254EA5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F1668" w:rsidRPr="00B95455" w:rsidRDefault="00DF1668" w:rsidP="00B954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B95455" w:rsidRDefault="00152670" w:rsidP="00B95455">
      <w:pPr>
        <w:bidi/>
        <w:rPr>
          <w:rFonts w:ascii="IRBadr" w:hAnsi="IRBadr" w:cs="IRBadr"/>
          <w:rtl/>
          <w:lang w:bidi="fa-IR"/>
        </w:rPr>
      </w:pPr>
    </w:p>
    <w:sectPr w:rsidR="00152670" w:rsidRPr="00B95455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17" w:rsidRDefault="00E55717" w:rsidP="000D5800">
      <w:pPr>
        <w:spacing w:after="0" w:line="240" w:lineRule="auto"/>
      </w:pPr>
      <w:r>
        <w:separator/>
      </w:r>
    </w:p>
  </w:endnote>
  <w:endnote w:type="continuationSeparator" w:id="0">
    <w:p w:rsidR="00E55717" w:rsidRDefault="00E5571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A8" w:rsidRDefault="00100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A8" w:rsidRDefault="00100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A8" w:rsidRDefault="0010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17" w:rsidRDefault="00E55717" w:rsidP="000D5800">
      <w:pPr>
        <w:spacing w:after="0" w:line="240" w:lineRule="auto"/>
      </w:pPr>
      <w:r>
        <w:separator/>
      </w:r>
    </w:p>
  </w:footnote>
  <w:footnote w:type="continuationSeparator" w:id="0">
    <w:p w:rsidR="00E55717" w:rsidRDefault="00E55717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A8" w:rsidRDefault="0010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F1668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A1BA4E" wp14:editId="1A75106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BE014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18037054" wp14:editId="56F8F45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1008A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F1668">
      <w:rPr>
        <w:rFonts w:ascii="IranNastaliq" w:hAnsi="IranNastaliq" w:cs="IranNastaliq" w:hint="cs"/>
        <w:sz w:val="40"/>
        <w:szCs w:val="40"/>
        <w:rtl/>
      </w:rPr>
      <w:t>782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A8" w:rsidRDefault="00100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4D7B"/>
    <w:rsid w:val="000F7E72"/>
    <w:rsid w:val="001008A8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4AB9"/>
    <w:rsid w:val="00197CDD"/>
    <w:rsid w:val="001A13B2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4EA5"/>
    <w:rsid w:val="00270294"/>
    <w:rsid w:val="00276D18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71EC"/>
    <w:rsid w:val="003E1E58"/>
    <w:rsid w:val="00405199"/>
    <w:rsid w:val="00410699"/>
    <w:rsid w:val="00415360"/>
    <w:rsid w:val="0044591E"/>
    <w:rsid w:val="004469B0"/>
    <w:rsid w:val="00452F1B"/>
    <w:rsid w:val="004651D2"/>
    <w:rsid w:val="00465D26"/>
    <w:rsid w:val="004679F8"/>
    <w:rsid w:val="004B337F"/>
    <w:rsid w:val="004F3596"/>
    <w:rsid w:val="00572E2D"/>
    <w:rsid w:val="00592103"/>
    <w:rsid w:val="005941DD"/>
    <w:rsid w:val="00595D8A"/>
    <w:rsid w:val="005A545E"/>
    <w:rsid w:val="005A5862"/>
    <w:rsid w:val="005B0852"/>
    <w:rsid w:val="005C06AE"/>
    <w:rsid w:val="005C0924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8777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76A8"/>
    <w:rsid w:val="00AF0F1A"/>
    <w:rsid w:val="00AF3184"/>
    <w:rsid w:val="00B15027"/>
    <w:rsid w:val="00B21CF4"/>
    <w:rsid w:val="00B24300"/>
    <w:rsid w:val="00B45EA5"/>
    <w:rsid w:val="00B63F15"/>
    <w:rsid w:val="00B95455"/>
    <w:rsid w:val="00BB5F7E"/>
    <w:rsid w:val="00BC26F6"/>
    <w:rsid w:val="00BC4833"/>
    <w:rsid w:val="00BD3122"/>
    <w:rsid w:val="00BD40DA"/>
    <w:rsid w:val="00BF3D67"/>
    <w:rsid w:val="00C160AF"/>
    <w:rsid w:val="00C20956"/>
    <w:rsid w:val="00C22299"/>
    <w:rsid w:val="00C25609"/>
    <w:rsid w:val="00C262D7"/>
    <w:rsid w:val="00C26607"/>
    <w:rsid w:val="00C44C7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471E"/>
    <w:rsid w:val="00DB28BB"/>
    <w:rsid w:val="00DC603F"/>
    <w:rsid w:val="00DD3C0D"/>
    <w:rsid w:val="00DD4864"/>
    <w:rsid w:val="00DD71A2"/>
    <w:rsid w:val="00DE1DC4"/>
    <w:rsid w:val="00DF1668"/>
    <w:rsid w:val="00E0639C"/>
    <w:rsid w:val="00E067E6"/>
    <w:rsid w:val="00E12531"/>
    <w:rsid w:val="00E143B0"/>
    <w:rsid w:val="00E55717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F16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D71EC"/>
    <w:pPr>
      <w:keepNext/>
      <w:keepLines/>
      <w:bidi/>
      <w:spacing w:before="340" w:after="0"/>
      <w:contextualSpacing/>
      <w:jc w:val="both"/>
      <w:outlineLvl w:val="1"/>
    </w:pPr>
    <w:rPr>
      <w:rFonts w:ascii="Cambria" w:eastAsia="2  Lotus" w:hAnsi="Cambria" w:cs="B Lotus"/>
      <w:bCs/>
      <w:sz w:val="40"/>
      <w:szCs w:val="40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D71EC"/>
    <w:rPr>
      <w:rFonts w:ascii="Cambria" w:eastAsia="2  Lotus" w:hAnsi="Cambria" w:cs="B Lotus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F16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D71EC"/>
    <w:pPr>
      <w:keepNext/>
      <w:keepLines/>
      <w:bidi/>
      <w:spacing w:before="340" w:after="0"/>
      <w:contextualSpacing/>
      <w:jc w:val="both"/>
      <w:outlineLvl w:val="1"/>
    </w:pPr>
    <w:rPr>
      <w:rFonts w:ascii="Cambria" w:eastAsia="2  Lotus" w:hAnsi="Cambria" w:cs="B Lotus"/>
      <w:bCs/>
      <w:sz w:val="40"/>
      <w:szCs w:val="40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D71EC"/>
    <w:rPr>
      <w:rFonts w:ascii="Cambria" w:eastAsia="2  Lotus" w:hAnsi="Cambria" w:cs="B Lotus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DC8-1EA5-4A6F-BAE5-B7051D2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192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12</cp:revision>
  <dcterms:created xsi:type="dcterms:W3CDTF">2014-12-20T10:11:00Z</dcterms:created>
  <dcterms:modified xsi:type="dcterms:W3CDTF">2015-08-15T06:06:00Z</dcterms:modified>
</cp:coreProperties>
</file>