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725D" w:rsidRPr="00A50826" w:rsidTr="00081F71">
        <w:tc>
          <w:tcPr>
            <w:tcW w:w="4788" w:type="dxa"/>
          </w:tcPr>
          <w:p w:rsidR="000B725D" w:rsidRPr="00A50826" w:rsidRDefault="000B725D" w:rsidP="00494DC0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0B725D" w:rsidRPr="00A50826" w:rsidRDefault="000B725D" w:rsidP="00494DC0">
            <w:pPr>
              <w:bidi/>
              <w:jc w:val="both"/>
              <w:rPr>
                <w:rFonts w:ascii="IRBadr" w:hAnsi="IRBadr" w:cs="IRBadr"/>
                <w:sz w:val="28"/>
                <w:szCs w:val="28"/>
                <w:rtl/>
                <w:lang w:bidi="fa-IR"/>
              </w:rPr>
            </w:pPr>
          </w:p>
        </w:tc>
      </w:tr>
    </w:tbl>
    <w:p w:rsidR="000B725D" w:rsidRPr="00A50826" w:rsidRDefault="000B725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بسم الله الرحمن الرحیم</w:t>
      </w:r>
    </w:p>
    <w:p w:rsidR="00DC6A2B" w:rsidRPr="00A50826" w:rsidRDefault="00DC6A2B" w:rsidP="00DC6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C6A2B" w:rsidRPr="00A50826" w:rsidRDefault="00DC6A2B" w:rsidP="00DC6A2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A50826">
        <w:rPr>
          <w:rFonts w:ascii="IRBadr" w:hAnsi="IRBadr" w:cs="IRBadr"/>
          <w:sz w:val="28"/>
          <w:rtl/>
        </w:rPr>
        <w:fldChar w:fldCharType="begin"/>
      </w:r>
      <w:r w:rsidRPr="00A50826">
        <w:rPr>
          <w:rFonts w:ascii="IRBadr" w:hAnsi="IRBadr" w:cs="IRBadr"/>
          <w:sz w:val="28"/>
          <w:rtl/>
        </w:rPr>
        <w:instrText xml:space="preserve"> </w:instrText>
      </w:r>
      <w:r w:rsidRPr="00A50826">
        <w:rPr>
          <w:rFonts w:ascii="IRBadr" w:hAnsi="IRBadr" w:cs="IRBadr"/>
          <w:sz w:val="28"/>
        </w:rPr>
        <w:instrText>TOC</w:instrText>
      </w:r>
      <w:r w:rsidRPr="00A50826">
        <w:rPr>
          <w:rFonts w:ascii="IRBadr" w:hAnsi="IRBadr" w:cs="IRBadr"/>
          <w:sz w:val="28"/>
          <w:rtl/>
        </w:rPr>
        <w:instrText xml:space="preserve"> \</w:instrText>
      </w:r>
      <w:r w:rsidRPr="00A50826">
        <w:rPr>
          <w:rFonts w:ascii="IRBadr" w:hAnsi="IRBadr" w:cs="IRBadr"/>
          <w:sz w:val="28"/>
        </w:rPr>
        <w:instrText>o "</w:instrText>
      </w:r>
      <w:r w:rsidRPr="00A50826">
        <w:rPr>
          <w:rFonts w:ascii="IRBadr" w:hAnsi="IRBadr" w:cs="IRBadr"/>
          <w:sz w:val="28"/>
          <w:rtl/>
        </w:rPr>
        <w:instrText>1-4</w:instrText>
      </w:r>
      <w:r w:rsidRPr="00A50826">
        <w:rPr>
          <w:rFonts w:ascii="IRBadr" w:hAnsi="IRBadr" w:cs="IRBadr"/>
          <w:sz w:val="28"/>
        </w:rPr>
        <w:instrText>" \h \z \u</w:instrText>
      </w:r>
      <w:r w:rsidRPr="00A50826">
        <w:rPr>
          <w:rFonts w:ascii="IRBadr" w:hAnsi="IRBadr" w:cs="IRBadr"/>
          <w:sz w:val="28"/>
          <w:rtl/>
        </w:rPr>
        <w:instrText xml:space="preserve"> </w:instrText>
      </w:r>
      <w:r w:rsidRPr="00A50826">
        <w:rPr>
          <w:rFonts w:ascii="IRBadr" w:hAnsi="IRBadr" w:cs="IRBadr"/>
          <w:sz w:val="28"/>
          <w:rtl/>
        </w:rPr>
        <w:fldChar w:fldCharType="separate"/>
      </w:r>
      <w:hyperlink w:anchor="_Toc426276943" w:history="1">
        <w:r w:rsidRPr="00A50826">
          <w:rPr>
            <w:rStyle w:val="Hyperlink"/>
            <w:rFonts w:ascii="IRBadr" w:hAnsi="IRBadr" w:cs="IRBadr"/>
            <w:noProof/>
            <w:rtl/>
          </w:rPr>
          <w:t>شرط صراحت در قذف</w:t>
        </w:r>
        <w:r w:rsidRPr="00A50826">
          <w:rPr>
            <w:rFonts w:ascii="IRBadr" w:hAnsi="IRBadr" w:cs="IRBadr"/>
            <w:noProof/>
            <w:webHidden/>
          </w:rPr>
          <w:tab/>
        </w:r>
        <w:r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A50826">
          <w:rPr>
            <w:rFonts w:ascii="IRBadr" w:hAnsi="IRBadr" w:cs="IRBadr"/>
            <w:noProof/>
            <w:webHidden/>
          </w:rPr>
          <w:instrText xml:space="preserve"> PAGEREF _Toc426276943 \h </w:instrText>
        </w:r>
        <w:r w:rsidRPr="00A50826">
          <w:rPr>
            <w:rStyle w:val="Hyperlink"/>
            <w:rFonts w:ascii="IRBadr" w:hAnsi="IRBadr" w:cs="IRBadr"/>
            <w:noProof/>
            <w:rtl/>
          </w:rPr>
        </w:r>
        <w:r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A50826">
          <w:rPr>
            <w:rFonts w:ascii="IRBadr" w:hAnsi="IRBadr" w:cs="IRBadr"/>
            <w:noProof/>
            <w:webHidden/>
          </w:rPr>
          <w:t>2</w:t>
        </w:r>
        <w:r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944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_Toc426276944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2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45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توهم صراحت در قذف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_Toc426276945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2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946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روایت اول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_Toc426276946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2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947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روایت دوم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_Toc426276947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3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48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احتمال تأکد در روایت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_Toc426276948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3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49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پاسخ به دو روایت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_Toc426276949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3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0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پاسخ اول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_Toc426276950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3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1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پاسخ دوم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_Toc426276951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3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2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بحثی حول ظهورات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_Toc426276952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4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3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قاعده درع در این باب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_Toc426276953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4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4" w:history="1">
        <w:r w:rsidR="00A50826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_Toc426276954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4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5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کفایت اشاره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_Toc426276955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4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276956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جمع بندی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_Toc426276956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5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7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آشنایی قاذف با لغت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_Toc426276957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5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8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انواع عدم شناخت در الفاظ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_Toc426276958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5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181F66" w:rsidP="00DC6A2B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276959" w:history="1">
        <w:r w:rsidR="00DC6A2B" w:rsidRPr="00A50826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DC6A2B" w:rsidRPr="00A50826">
          <w:rPr>
            <w:rFonts w:ascii="IRBadr" w:hAnsi="IRBadr" w:cs="IRBadr"/>
            <w:noProof/>
            <w:webHidden/>
          </w:rPr>
          <w:tab/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DC6A2B" w:rsidRPr="00A50826">
          <w:rPr>
            <w:rFonts w:ascii="IRBadr" w:hAnsi="IRBadr" w:cs="IRBadr"/>
            <w:noProof/>
            <w:webHidden/>
          </w:rPr>
          <w:instrText xml:space="preserve"> PAGEREF _Toc426276959 \h </w:instrText>
        </w:r>
        <w:r w:rsidR="00DC6A2B" w:rsidRPr="00A50826">
          <w:rPr>
            <w:rStyle w:val="Hyperlink"/>
            <w:rFonts w:ascii="IRBadr" w:hAnsi="IRBadr" w:cs="IRBadr"/>
            <w:noProof/>
            <w:rtl/>
          </w:rPr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DC6A2B" w:rsidRPr="00A50826">
          <w:rPr>
            <w:rFonts w:ascii="IRBadr" w:hAnsi="IRBadr" w:cs="IRBadr"/>
            <w:noProof/>
            <w:webHidden/>
          </w:rPr>
          <w:t>5</w:t>
        </w:r>
        <w:r w:rsidR="00DC6A2B" w:rsidRPr="00A50826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DC6A2B" w:rsidRPr="00A50826" w:rsidRDefault="00DC6A2B" w:rsidP="00DC6A2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F197C" w:rsidRPr="00A50826" w:rsidRDefault="007A7C17" w:rsidP="00494DC0">
      <w:pPr>
        <w:pStyle w:val="Heading1"/>
        <w:rPr>
          <w:rFonts w:ascii="IRBadr" w:hAnsi="IRBadr" w:cs="IRBadr"/>
          <w:rtl/>
        </w:rPr>
      </w:pPr>
      <w:bookmarkStart w:id="0" w:name="_Toc426276943"/>
      <w:r w:rsidRPr="00A50826">
        <w:rPr>
          <w:rFonts w:ascii="IRBadr" w:hAnsi="IRBadr" w:cs="IRBadr"/>
          <w:rtl/>
        </w:rPr>
        <w:lastRenderedPageBreak/>
        <w:t>شرط صراحت در قذف</w:t>
      </w:r>
      <w:bookmarkEnd w:id="0"/>
    </w:p>
    <w:p w:rsidR="007A7C17" w:rsidRPr="00A50826" w:rsidRDefault="007A7C17" w:rsidP="00DC6A2B">
      <w:pPr>
        <w:pStyle w:val="Heading2"/>
        <w:rPr>
          <w:rFonts w:ascii="IRBadr" w:hAnsi="IRBadr" w:cs="IRBadr"/>
          <w:rtl/>
        </w:rPr>
      </w:pPr>
      <w:bookmarkStart w:id="1" w:name="_Toc426276944"/>
      <w:r w:rsidRPr="00A50826">
        <w:rPr>
          <w:rFonts w:ascii="IRBadr" w:hAnsi="IRBadr" w:cs="IRBadr"/>
          <w:rtl/>
        </w:rPr>
        <w:t>مرور بحث سابق</w:t>
      </w:r>
      <w:bookmarkEnd w:id="1"/>
    </w:p>
    <w:p w:rsidR="007A7C17" w:rsidRPr="00A50826" w:rsidRDefault="007A7C17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در بحث گذشته بیان شد که لفظی که در نسبت دادن فرد به فواحش به کار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باید صراحت یا ظهور در آن داشته باشد.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اگر از ظهور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پایین‌تر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بود،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طبیعتاً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دیگر رمی و قذف بدان اطلاق نشده و حدی نیز به دنبال آن نخواهد بود.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اگر بدان اشعار داشته باشد یا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تلقی توهین از آن بشود،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آن زمان ممکن است حکم تعزیر ثابت شود.</w:t>
      </w:r>
    </w:p>
    <w:p w:rsidR="008F197C" w:rsidRPr="00A50826" w:rsidRDefault="00494DC0" w:rsidP="00A5082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کلی‌ای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 این زمینه مطرح شد،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بیان قاعده در تعزیر و آیات جلد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گفته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شد که ثبوت آن تابع فهم عقلاست،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="007A7C17" w:rsidRPr="00A50826">
        <w:rPr>
          <w:rFonts w:ascii="IRBadr" w:hAnsi="IRBadr" w:cs="IRBadr"/>
          <w:sz w:val="28"/>
          <w:szCs w:val="28"/>
          <w:rtl/>
          <w:lang w:bidi="fa-IR"/>
        </w:rPr>
        <w:t xml:space="preserve"> تکمیل این بحث لازم است به نکاتی اشاره شود.</w:t>
      </w:r>
    </w:p>
    <w:p w:rsidR="007A7C17" w:rsidRPr="00A50826" w:rsidRDefault="007A7C17" w:rsidP="00DC6A2B">
      <w:pPr>
        <w:pStyle w:val="Heading3"/>
        <w:rPr>
          <w:rFonts w:ascii="IRBadr" w:hAnsi="IRBadr" w:cs="IRBadr"/>
          <w:rtl/>
        </w:rPr>
      </w:pPr>
      <w:bookmarkStart w:id="2" w:name="_Toc426276945"/>
      <w:r w:rsidRPr="00A50826">
        <w:rPr>
          <w:rFonts w:ascii="IRBadr" w:hAnsi="IRBadr" w:cs="IRBadr"/>
          <w:rtl/>
        </w:rPr>
        <w:t>توهم صراحت در قذف</w:t>
      </w:r>
      <w:bookmarkEnd w:id="2"/>
    </w:p>
    <w:p w:rsidR="007A7C17" w:rsidRPr="00A50826" w:rsidRDefault="007A7C17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برخی توهم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برای ثبوت حد در قذف لازم است که لفظ صریح در آن نسبت باشد،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نسبت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به این قول قائلی را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ندیده‌ام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 احتمال آن داده شده است.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احتمال در واقع مستند به دو روایتی است که در همان باب نوزده وجود دارد.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اگر ما بودیم و قواعد اولیه،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صراحت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یا ظهور کافی بود.</w:t>
      </w:r>
    </w:p>
    <w:p w:rsidR="008F197C" w:rsidRPr="00A50826" w:rsidRDefault="007A7C17" w:rsidP="00DC6A2B">
      <w:pPr>
        <w:pStyle w:val="Heading2"/>
        <w:rPr>
          <w:rFonts w:ascii="IRBadr" w:hAnsi="IRBadr" w:cs="IRBadr"/>
          <w:rtl/>
        </w:rPr>
      </w:pPr>
      <w:bookmarkStart w:id="3" w:name="_Toc426276946"/>
      <w:r w:rsidRPr="00A50826">
        <w:rPr>
          <w:rFonts w:ascii="IRBadr" w:hAnsi="IRBadr" w:cs="IRBadr"/>
          <w:rtl/>
        </w:rPr>
        <w:t>روایت اول</w:t>
      </w:r>
      <w:bookmarkEnd w:id="3"/>
    </w:p>
    <w:p w:rsidR="007A7C17" w:rsidRPr="00A50826" w:rsidRDefault="007A7C17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اولین روایتی که بدان جهت توهم فوق استفاده شده است،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بدین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گونه است که؛</w:t>
      </w:r>
    </w:p>
    <w:p w:rsidR="007A7C17" w:rsidRPr="00A50826" w:rsidRDefault="007A7C17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0B725D" w:rsidRPr="00A50826">
        <w:rPr>
          <w:rFonts w:ascii="IRBadr" w:hAnsi="IRBadr" w:cs="IRBadr"/>
          <w:sz w:val="28"/>
          <w:szCs w:val="28"/>
          <w:rtl/>
          <w:lang w:bidi="fa-IR"/>
        </w:rPr>
        <w:t>باب نوزده، از ابواب حد قذف، حدیث ششم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4F56BA" w:rsidRPr="00A50826" w:rsidRDefault="004F56BA" w:rsidP="00494DC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عَنِ الْحَسَنِ بْنِ مُوسَی الْخَشَّابِ عَنْ غِیاثِ بْنِ کلُّوبٍ عَنْ إِسْحَاقَ بْنِ عَمَّارٍ عَنْ أَبِی جَعْفَرٍ ع أَنَّ عَلِیاً ع</w:t>
      </w: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کانَ یعَزِّرُ فِی الْهِجَاءِ</w:t>
      </w: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 لَا یجْلِدُ الْحَدَّ إِلَّا فِی الْفِرْیةِ الْمُصَرَّحَةِ أَنْ یقُولَ یا زَانِ وَ یا ابْنَ الزَّانِیةِ أَوْ لَسْتَ لِأَبِیک»</w:t>
      </w:r>
      <w:r w:rsidRPr="00A50826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7A7C17" w:rsidRPr="00A50826" w:rsidRDefault="007A7C17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شاهد کلام در این نقطه است که روایت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زده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مگر در جایی که در افتاراء صراحت وجود داشته باشد.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در این روایت قیاس بن کلوب محل بحث است.</w:t>
      </w:r>
    </w:p>
    <w:p w:rsidR="00FC1B7D" w:rsidRPr="00A50826" w:rsidRDefault="00FC1B7D" w:rsidP="00DC6A2B">
      <w:pPr>
        <w:pStyle w:val="Heading2"/>
        <w:rPr>
          <w:rFonts w:ascii="IRBadr" w:hAnsi="IRBadr" w:cs="IRBadr"/>
          <w:rtl/>
        </w:rPr>
      </w:pPr>
      <w:bookmarkStart w:id="4" w:name="_Toc426276947"/>
      <w:r w:rsidRPr="00A50826">
        <w:rPr>
          <w:rFonts w:ascii="IRBadr" w:hAnsi="IRBadr" w:cs="IRBadr"/>
          <w:rtl/>
        </w:rPr>
        <w:lastRenderedPageBreak/>
        <w:t>روایت دوم</w:t>
      </w:r>
      <w:bookmarkEnd w:id="4"/>
    </w:p>
    <w:p w:rsidR="00FC1B7D" w:rsidRPr="00A50826" w:rsidRDefault="000B725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روایت نهم </w:t>
      </w:r>
      <w:r w:rsidR="00FC1B7D" w:rsidRPr="00A50826">
        <w:rPr>
          <w:rFonts w:ascii="IRBadr" w:hAnsi="IRBadr" w:cs="IRBadr"/>
          <w:sz w:val="28"/>
          <w:szCs w:val="28"/>
          <w:rtl/>
          <w:lang w:bidi="fa-IR"/>
        </w:rPr>
        <w:t xml:space="preserve">از این باب شاهد دیگر بر این امر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FC1B7D" w:rsidRPr="00A50826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494DC0" w:rsidRPr="00A50826" w:rsidRDefault="00494DC0" w:rsidP="00494DC0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A50826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«فِی رِوَایةِ وَهْبِ بْنِ وَهْبٍ عَنْ جَعْفَرِ بْنِ مُحَمَّدٍ عَنْ أَبِیهِ ع أَنَّ عَلِیاً ع لَمْ یکنْ یحُدُّ فِی التَّعْرِیضِ حَتَّی یأْتِی بِالْفِرْیةِ الْمُصَرَّحَةِ مِثْلِ یا زَانِ وَ یا ابْنَ الزَّانِیةِ أَوْ لَسْتَ لِأَبِیک»</w:t>
      </w:r>
      <w:r w:rsidRPr="00A50826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2"/>
      </w:r>
    </w:p>
    <w:p w:rsidR="00FC1B7D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این سند توثیق ندارد،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ظاهر فردی که در این روایت مورد اشکال است از رجال ابن ابی عمیر باشد.</w:t>
      </w:r>
    </w:p>
    <w:p w:rsidR="00FC1B7D" w:rsidRPr="00A50826" w:rsidRDefault="00FC1B7D" w:rsidP="00DC6A2B">
      <w:pPr>
        <w:pStyle w:val="Heading3"/>
        <w:rPr>
          <w:rFonts w:ascii="IRBadr" w:hAnsi="IRBadr" w:cs="IRBadr"/>
          <w:rtl/>
        </w:rPr>
      </w:pPr>
      <w:bookmarkStart w:id="5" w:name="_Toc426276948"/>
      <w:r w:rsidRPr="00A50826">
        <w:rPr>
          <w:rFonts w:ascii="IRBadr" w:hAnsi="IRBadr" w:cs="IRBadr"/>
          <w:rtl/>
        </w:rPr>
        <w:t>احتمال تأکد در روایت</w:t>
      </w:r>
      <w:bookmarkEnd w:id="5"/>
    </w:p>
    <w:p w:rsidR="00FC1B7D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ممکن است در اینجا کسی فکر کند که این دو روایت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تأکید بر صراحت لفظ در این زمینه است.</w:t>
      </w:r>
    </w:p>
    <w:p w:rsidR="00FC1B7D" w:rsidRPr="00A50826" w:rsidRDefault="00FC1B7D" w:rsidP="00DC6A2B">
      <w:pPr>
        <w:pStyle w:val="Heading3"/>
        <w:rPr>
          <w:rFonts w:ascii="IRBadr" w:hAnsi="IRBadr" w:cs="IRBadr"/>
          <w:rtl/>
        </w:rPr>
      </w:pPr>
      <w:bookmarkStart w:id="6" w:name="_Toc426276949"/>
      <w:r w:rsidRPr="00A50826">
        <w:rPr>
          <w:rFonts w:ascii="IRBadr" w:hAnsi="IRBadr" w:cs="IRBadr"/>
          <w:rtl/>
        </w:rPr>
        <w:t>پاسخ به دو روایت</w:t>
      </w:r>
      <w:bookmarkEnd w:id="6"/>
    </w:p>
    <w:p w:rsidR="00494DC0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در قبال دو روایت بیان شده،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اینگونه پاسخ داد که؛</w:t>
      </w:r>
    </w:p>
    <w:p w:rsidR="00FC1B7D" w:rsidRPr="00A50826" w:rsidRDefault="00FC1B7D" w:rsidP="00DC6A2B">
      <w:pPr>
        <w:pStyle w:val="Heading3"/>
        <w:rPr>
          <w:rFonts w:ascii="IRBadr" w:hAnsi="IRBadr" w:cs="IRBadr"/>
          <w:szCs w:val="28"/>
          <w:rtl/>
        </w:rPr>
      </w:pPr>
      <w:bookmarkStart w:id="7" w:name="_Toc426276950"/>
      <w:r w:rsidRPr="00A50826">
        <w:rPr>
          <w:rFonts w:ascii="IRBadr" w:hAnsi="IRBadr" w:cs="IRBadr"/>
          <w:rtl/>
        </w:rPr>
        <w:t>پاسخ اول</w:t>
      </w:r>
      <w:bookmarkEnd w:id="7"/>
    </w:p>
    <w:p w:rsidR="00FC1B7D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پاسخ اول به روایات فوق بدین گونه است که؛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کلمه تصریح دو اصطلاح وجود دارد،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اصطلاح همان است که در اصول توجه زیادی نسبت به آن وجود دارد که مقابل ظهور قرار داده شده است و به حد قطع و عدم وجود احتمال مقابل رسیده است.</w:t>
      </w:r>
    </w:p>
    <w:p w:rsidR="00FC1B7D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اما در لغت معنای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وسیع‌تری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برای آن وجود دارد که؛ صراحت در کلام یعنی وجود ظهوری در کلام که از احتمال مخالفش کاسته شود.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لغت لفظ ظهور هم صراحت را دربر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و هم موار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دی که مقداری از صراحت در حد ادن</w:t>
      </w:r>
      <w:r w:rsidR="00A50826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تری قرار دارد.</w:t>
      </w:r>
    </w:p>
    <w:p w:rsidR="00FC1B7D" w:rsidRPr="00A50826" w:rsidRDefault="00FC1B7D" w:rsidP="00DC6A2B">
      <w:pPr>
        <w:pStyle w:val="Heading3"/>
        <w:rPr>
          <w:rFonts w:ascii="IRBadr" w:hAnsi="IRBadr" w:cs="IRBadr"/>
          <w:rtl/>
        </w:rPr>
      </w:pPr>
      <w:bookmarkStart w:id="8" w:name="_Toc426276951"/>
      <w:r w:rsidRPr="00A50826">
        <w:rPr>
          <w:rFonts w:ascii="IRBadr" w:hAnsi="IRBadr" w:cs="IRBadr"/>
          <w:rtl/>
        </w:rPr>
        <w:t>پاسخ دوم</w:t>
      </w:r>
      <w:bookmarkEnd w:id="8"/>
    </w:p>
    <w:p w:rsidR="00FC1B7D" w:rsidRPr="00A50826" w:rsidRDefault="00FC1B7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پاسخ دومی 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برای این روایات ارائه داد،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FC1B7D" w:rsidRPr="00A50826" w:rsidRDefault="000626D3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مثال‌هایی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در روایات فوق وجود داشت،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مواردی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بیان شده که در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صراحت وجود ندارد،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یابن زانیة» از مواردی است که صاحب جواهر اعتقاد دارد دارای صراحت لفظی نیستند.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حتی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ایشان فراتر از آن،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قائل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است که ظهوری نیز ندارد.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ممکن است نزد اطلاق این جمله به یک فرد،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منظور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حالتی است که از فرد انتظار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یا در آینده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می‌خواهد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از او واقع شود.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 احتمال منتفی نیست و این جواب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مؤید جواب اول باشد.</w:t>
      </w:r>
    </w:p>
    <w:p w:rsidR="000626D3" w:rsidRPr="00A50826" w:rsidRDefault="000626D3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البته در کنار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گفت: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دو روایت نیز با مشکلاتی مواجه است.</w:t>
      </w:r>
    </w:p>
    <w:p w:rsidR="000626D3" w:rsidRPr="00A50826" w:rsidRDefault="000626D3" w:rsidP="00DC6A2B">
      <w:pPr>
        <w:pStyle w:val="Heading3"/>
        <w:rPr>
          <w:rFonts w:ascii="IRBadr" w:hAnsi="IRBadr" w:cs="IRBadr"/>
          <w:rtl/>
        </w:rPr>
      </w:pPr>
      <w:bookmarkStart w:id="9" w:name="_Toc426276952"/>
      <w:r w:rsidRPr="00A50826">
        <w:rPr>
          <w:rFonts w:ascii="IRBadr" w:hAnsi="IRBadr" w:cs="IRBadr"/>
          <w:rtl/>
        </w:rPr>
        <w:t>بحثی حول ظهورات</w:t>
      </w:r>
      <w:bookmarkEnd w:id="9"/>
    </w:p>
    <w:p w:rsidR="000626D3" w:rsidRPr="00A50826" w:rsidRDefault="000626D3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ممکن است کسی چنین تصوری داشته باشد که در اینجا مطلق ظهور کفایت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نیز اشعاراتی به آن شده بود،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ذو مراتب است،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به موارد ادنای آن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اکتفا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نمود،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همین رو لازم است که ظهور در مرتبه خود از قوت برخوردار باشد.</w:t>
      </w:r>
    </w:p>
    <w:p w:rsidR="000626D3" w:rsidRPr="00A50826" w:rsidRDefault="000626D3" w:rsidP="00DC6A2B">
      <w:pPr>
        <w:pStyle w:val="Heading3"/>
        <w:rPr>
          <w:rFonts w:ascii="IRBadr" w:hAnsi="IRBadr" w:cs="IRBadr"/>
          <w:rtl/>
        </w:rPr>
      </w:pPr>
      <w:bookmarkStart w:id="10" w:name="_Toc426276953"/>
      <w:r w:rsidRPr="00A50826">
        <w:rPr>
          <w:rFonts w:ascii="IRBadr" w:hAnsi="IRBadr" w:cs="IRBadr"/>
          <w:rtl/>
        </w:rPr>
        <w:t>قاعده درع در این باب</w:t>
      </w:r>
      <w:bookmarkEnd w:id="10"/>
    </w:p>
    <w:p w:rsidR="000626D3" w:rsidRPr="00A50826" w:rsidRDefault="000626D3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از جمله ادله دیگری که در این باب نیز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از آن بهره برد،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قاعده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درع است،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بر اساس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توضیحی که ما از این قاعده ارائه دادیم،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از آن شاهدی آورد برای اثبات لزوم اقوائیت ظهور؛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چراکه 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نسبت به مراتب نازله ظهور شبهه وجود دارد و این قاعده در بحث حدود موارد تشکیکی را از مدار حکم خارج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626D3" w:rsidRPr="00A50826" w:rsidRDefault="00A50826" w:rsidP="00DC6A2B">
      <w:pPr>
        <w:pStyle w:val="Heading3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0626D3" w:rsidRPr="00A50826" w:rsidRDefault="000626D3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نتیجه‌ای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بگیریم،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بود که؛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باب اثبات حدود،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در کلام قاذف ظهور قوی وجود داشته باشد،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76AEB" w:rsidRPr="00A50826">
        <w:rPr>
          <w:rFonts w:ascii="IRBadr" w:hAnsi="IRBadr" w:cs="IRBadr"/>
          <w:sz w:val="28"/>
          <w:szCs w:val="28"/>
          <w:rtl/>
          <w:lang w:bidi="fa-IR"/>
        </w:rPr>
        <w:t xml:space="preserve"> با ظهورات مضطرب یا مواردی که در منتفی الظهور هستند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="00F76AEB" w:rsidRPr="00A50826">
        <w:rPr>
          <w:rFonts w:ascii="IRBadr" w:hAnsi="IRBadr" w:cs="IRBadr"/>
          <w:sz w:val="28"/>
          <w:szCs w:val="28"/>
          <w:rtl/>
          <w:lang w:bidi="fa-IR"/>
        </w:rPr>
        <w:t xml:space="preserve"> حد را جاری نمود.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76AEB" w:rsidRPr="00A50826">
        <w:rPr>
          <w:rFonts w:ascii="IRBadr" w:hAnsi="IRBadr" w:cs="IRBadr"/>
          <w:sz w:val="28"/>
          <w:szCs w:val="28"/>
          <w:rtl/>
          <w:lang w:bidi="fa-IR"/>
        </w:rPr>
        <w:t xml:space="preserve"> از جمله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F76AEB"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این گفتار را تأیید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F76AEB" w:rsidRPr="00A50826">
        <w:rPr>
          <w:rFonts w:ascii="IRBadr" w:hAnsi="IRBadr" w:cs="IRBadr"/>
          <w:sz w:val="28"/>
          <w:szCs w:val="28"/>
          <w:rtl/>
          <w:lang w:bidi="fa-IR"/>
        </w:rPr>
        <w:t xml:space="preserve"> قاعده درع است.</w:t>
      </w:r>
    </w:p>
    <w:p w:rsidR="00F76AEB" w:rsidRPr="00A50826" w:rsidRDefault="00F76AEB" w:rsidP="00DC6A2B">
      <w:pPr>
        <w:pStyle w:val="Heading3"/>
        <w:rPr>
          <w:rFonts w:ascii="IRBadr" w:hAnsi="IRBadr" w:cs="IRBadr"/>
          <w:rtl/>
        </w:rPr>
      </w:pPr>
      <w:bookmarkStart w:id="11" w:name="_Toc426276955"/>
      <w:r w:rsidRPr="00A50826">
        <w:rPr>
          <w:rFonts w:ascii="IRBadr" w:hAnsi="IRBadr" w:cs="IRBadr"/>
          <w:rtl/>
        </w:rPr>
        <w:t>کفایت اشاره</w:t>
      </w:r>
      <w:bookmarkEnd w:id="11"/>
    </w:p>
    <w:p w:rsidR="00F76AEB" w:rsidRPr="00A50826" w:rsidRDefault="00F76AEB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در قبال این سؤال که آیا اشاره در این مقام جهت اثبات حد کفایت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گفت:</w:t>
      </w:r>
    </w:p>
    <w:p w:rsidR="00F76AEB" w:rsidRPr="00A50826" w:rsidRDefault="00F76AEB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در حقیقت اشاره دو قسم است؛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موردی اشاره از جانب فردی است 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نطق کند،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با ایماء و اشاره سخن خود را بیان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 قسم بعید است که اشاره از ظهور لازم در این مقام کفایت کند.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اشاره از جانب شخص قادر عرفا ظهورساز 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lastRenderedPageBreak/>
        <w:t>نیست.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باید به این نکته نیز توجه داشت که اگر در این میان مبرزی قوی وجود داشته باشد چه از قبیل لفظ یا اشاره یا ...،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موردپذیرش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F76AEB" w:rsidRPr="00A50826" w:rsidRDefault="00F76AEB" w:rsidP="00DC6A2B">
      <w:pPr>
        <w:pStyle w:val="Heading2"/>
        <w:rPr>
          <w:rFonts w:ascii="IRBadr" w:hAnsi="IRBadr" w:cs="IRBadr"/>
          <w:rtl/>
        </w:rPr>
      </w:pPr>
      <w:bookmarkStart w:id="12" w:name="_Toc426276956"/>
      <w:r w:rsidRPr="00A50826">
        <w:rPr>
          <w:rFonts w:ascii="IRBadr" w:hAnsi="IRBadr" w:cs="IRBadr"/>
          <w:rtl/>
        </w:rPr>
        <w:t>جمع بندی</w:t>
      </w:r>
      <w:bookmarkEnd w:id="12"/>
    </w:p>
    <w:p w:rsidR="00F76AEB" w:rsidRPr="00A50826" w:rsidRDefault="00F76AEB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سه احتمال را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ارائه داد؛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صراحت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در شرط امری لازم است،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مطلق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ظهور کافی است یا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در مبرز رمی فرقی میان کتابت یا تلفظ یا سایر ابزار وجود ندارد.</w:t>
      </w:r>
    </w:p>
    <w:p w:rsidR="00F76AEB" w:rsidRPr="00A50826" w:rsidRDefault="00F76AEB" w:rsidP="00DC6A2B">
      <w:pPr>
        <w:pStyle w:val="Heading3"/>
        <w:rPr>
          <w:rFonts w:ascii="IRBadr" w:hAnsi="IRBadr" w:cs="IRBadr"/>
          <w:rtl/>
        </w:rPr>
      </w:pPr>
      <w:bookmarkStart w:id="13" w:name="_Toc426276957"/>
      <w:r w:rsidRPr="00A50826">
        <w:rPr>
          <w:rFonts w:ascii="IRBadr" w:hAnsi="IRBadr" w:cs="IRBadr"/>
          <w:rtl/>
        </w:rPr>
        <w:t>آشنایی قاذف با لغت</w:t>
      </w:r>
      <w:bookmarkEnd w:id="13"/>
    </w:p>
    <w:p w:rsidR="00DE3B98" w:rsidRPr="00A50826" w:rsidRDefault="003F1AE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از جمله شروط دیگری که برای تحقق حد قذف ذکر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آشنایی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قاذف با لغتی است که قصد کرده است با آن قذف نماید.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شرط در کتب قدما نیز موجود بوده،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چرا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واضح است در پی استعمال لفظ باید قصد فرد نیز همراه آن باشد،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الا مفهوم قذف تحقق پیدا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و مشخص است که صرف ادای لفظی که فرد توجه و یا علم به نسبت فحشایی آن ندارد،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جهت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لزوم حد در قذف کفایت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لذاست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این شرط از گذشته تاکنون در کتب فقهی ملحوظ فقها بوده است.</w:t>
      </w:r>
    </w:p>
    <w:p w:rsidR="003F1AED" w:rsidRPr="00A50826" w:rsidRDefault="003F1AE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>نکته اساسی دیگری که باید بدان التفات داشت،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است که قصد بدون به مجرد علم محقق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، اما علم شرطی لازم برای آن است،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تقریباً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بلکه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تحقیقاً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این شرط مورد لحاظ همه بوده و در آن بحث و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اختلاف‌نظری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وجود ندارد.</w:t>
      </w:r>
    </w:p>
    <w:p w:rsidR="00DE3B98" w:rsidRPr="00A50826" w:rsidRDefault="004F56BA" w:rsidP="00DC6A2B">
      <w:pPr>
        <w:pStyle w:val="Heading3"/>
        <w:rPr>
          <w:rFonts w:ascii="IRBadr" w:hAnsi="IRBadr" w:cs="IRBadr"/>
          <w:rtl/>
        </w:rPr>
      </w:pPr>
      <w:bookmarkStart w:id="14" w:name="_Toc426276958"/>
      <w:r w:rsidRPr="00A50826">
        <w:rPr>
          <w:rFonts w:ascii="IRBadr" w:hAnsi="IRBadr" w:cs="IRBadr"/>
          <w:rtl/>
        </w:rPr>
        <w:t>انواع عدم شناخت در الفاظ</w:t>
      </w:r>
      <w:bookmarkEnd w:id="14"/>
    </w:p>
    <w:p w:rsidR="004F56BA" w:rsidRPr="00A50826" w:rsidRDefault="000B725D" w:rsidP="00494DC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عدم عرفان به آن لغتی که به کار می‌برد یا دلالت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به کار می‌برد، دو صورت دارد، 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>گاهی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جهل بسیط است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و گاهی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جهل مرکب و همراه با احتمال است.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به‌عبارت‌دیگر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است که لفظ حامل اسناد زنا در حالی به کار برده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اصلاً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فرد تصور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آن معنا را دربر داشته باشد،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فرد غافل محض است.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زمانی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هست که احتمال 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>،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اطمینان ندارد.</w:t>
      </w:r>
    </w:p>
    <w:p w:rsidR="004F56BA" w:rsidRPr="00A50826" w:rsidRDefault="000B725D" w:rsidP="00DC6A2B">
      <w:pPr>
        <w:pStyle w:val="Heading3"/>
        <w:rPr>
          <w:rFonts w:ascii="IRBadr" w:hAnsi="IRBadr" w:cs="IRBadr"/>
          <w:rtl/>
        </w:rPr>
      </w:pPr>
      <w:r w:rsidRPr="00A50826">
        <w:rPr>
          <w:rFonts w:ascii="IRBadr" w:hAnsi="IRBadr" w:cs="IRBadr"/>
          <w:rtl/>
        </w:rPr>
        <w:t xml:space="preserve"> </w:t>
      </w:r>
      <w:bookmarkStart w:id="15" w:name="_Toc426276959"/>
      <w:r w:rsidR="004F56BA" w:rsidRPr="00A50826">
        <w:rPr>
          <w:rFonts w:ascii="IRBadr" w:hAnsi="IRBadr" w:cs="IRBadr"/>
          <w:rtl/>
        </w:rPr>
        <w:t>اتخاذ مبنا</w:t>
      </w:r>
      <w:bookmarkEnd w:id="15"/>
    </w:p>
    <w:p w:rsidR="00152670" w:rsidRPr="00A50826" w:rsidRDefault="000B725D" w:rsidP="00A5082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صورت اولی قدر متیقن و </w:t>
      </w:r>
      <w:r w:rsidR="00A50826">
        <w:rPr>
          <w:rFonts w:ascii="IRBadr" w:hAnsi="IRBadr" w:cs="IRBadr"/>
          <w:sz w:val="28"/>
          <w:szCs w:val="28"/>
          <w:rtl/>
          <w:lang w:bidi="fa-IR"/>
        </w:rPr>
        <w:t>متفق‌علیه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است که کافی نیست و با آن ح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د قذف ثابت نمی‌شود. اما صورت 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ثانیه فمحل الکلام، ظاهر کلمات مشهور فقها این است که این هم مثل آن یکی است،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 فرقی نمی‌کند. برای اینکه رمی به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 قصد نیاز دارد و این قصد هم در جایی است که مطمئن باشد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>این لفظ</w:t>
      </w:r>
      <w:r w:rsidR="00494DC0" w:rsidRPr="00A5082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Pr="00A50826">
        <w:rPr>
          <w:rFonts w:ascii="IRBadr" w:hAnsi="IRBadr" w:cs="IRBadr"/>
          <w:sz w:val="28"/>
          <w:szCs w:val="28"/>
          <w:rtl/>
          <w:lang w:bidi="fa-IR"/>
        </w:rPr>
        <w:t xml:space="preserve">معنا را افاده می‌کند. </w:t>
      </w:r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>اما برخلاف مشهور مرحوم آقای خوانساری در جامع المدارک ک</w:t>
      </w:r>
      <w:r w:rsidR="00A50826">
        <w:rPr>
          <w:rFonts w:ascii="IRBadr" w:hAnsi="IRBadr" w:cs="IRBadr" w:hint="cs"/>
          <w:sz w:val="28"/>
          <w:szCs w:val="28"/>
          <w:rtl/>
          <w:lang w:bidi="fa-IR"/>
        </w:rPr>
        <w:t>ل</w:t>
      </w:r>
      <w:bookmarkStart w:id="16" w:name="_GoBack"/>
      <w:bookmarkEnd w:id="16"/>
      <w:r w:rsidR="004F56BA" w:rsidRPr="00A50826">
        <w:rPr>
          <w:rFonts w:ascii="IRBadr" w:hAnsi="IRBadr" w:cs="IRBadr"/>
          <w:sz w:val="28"/>
          <w:szCs w:val="28"/>
          <w:rtl/>
          <w:lang w:bidi="fa-IR"/>
        </w:rPr>
        <w:t>امی متفاوت دارند.</w:t>
      </w:r>
    </w:p>
    <w:sectPr w:rsidR="00152670" w:rsidRPr="00A50826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66" w:rsidRDefault="00181F66" w:rsidP="000D5800">
      <w:pPr>
        <w:spacing w:after="0" w:line="240" w:lineRule="auto"/>
      </w:pPr>
      <w:r>
        <w:separator/>
      </w:r>
    </w:p>
  </w:endnote>
  <w:endnote w:type="continuationSeparator" w:id="0">
    <w:p w:rsidR="00181F66" w:rsidRDefault="00181F6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0" w:rsidRDefault="00494D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0" w:rsidRDefault="00494D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0" w:rsidRDefault="00494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66" w:rsidRDefault="00181F66" w:rsidP="000D5800">
      <w:pPr>
        <w:spacing w:after="0" w:line="240" w:lineRule="auto"/>
      </w:pPr>
      <w:r>
        <w:separator/>
      </w:r>
    </w:p>
  </w:footnote>
  <w:footnote w:type="continuationSeparator" w:id="0">
    <w:p w:rsidR="00181F66" w:rsidRDefault="00181F66" w:rsidP="000D5800">
      <w:pPr>
        <w:spacing w:after="0" w:line="240" w:lineRule="auto"/>
      </w:pPr>
      <w:r>
        <w:continuationSeparator/>
      </w:r>
    </w:p>
  </w:footnote>
  <w:footnote w:id="1">
    <w:p w:rsidR="004F56BA" w:rsidRDefault="004F56BA" w:rsidP="004F56B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41FB3">
        <w:rPr>
          <w:rFonts w:ascii="Noor_Titr" w:hAnsi="Noor_Titr" w:cs="B Badr"/>
          <w:color w:val="000000" w:themeColor="text1"/>
          <w:rtl/>
        </w:rPr>
        <w:t>تهذ</w:t>
      </w:r>
      <w:r>
        <w:rPr>
          <w:rFonts w:ascii="Noor_Titr" w:hAnsi="Noor_Titr" w:cs="B Badr"/>
          <w:color w:val="000000" w:themeColor="text1"/>
          <w:rtl/>
        </w:rPr>
        <w:t>ی</w:t>
      </w:r>
      <w:r w:rsidRPr="00B41FB3">
        <w:rPr>
          <w:rFonts w:ascii="Noor_Titr" w:hAnsi="Noor_Titr" w:cs="B Badr"/>
          <w:color w:val="000000" w:themeColor="text1"/>
          <w:rtl/>
        </w:rPr>
        <w:t>ب الأح</w:t>
      </w:r>
      <w:r>
        <w:rPr>
          <w:rFonts w:ascii="Noor_Titr" w:hAnsi="Noor_Titr" w:cs="B Badr"/>
          <w:color w:val="000000" w:themeColor="text1"/>
          <w:rtl/>
        </w:rPr>
        <w:t>ک</w:t>
      </w:r>
      <w:r w:rsidRPr="00B41FB3">
        <w:rPr>
          <w:rFonts w:ascii="Noor_Titr" w:hAnsi="Noor_Titr" w:cs="B Badr"/>
          <w:color w:val="000000" w:themeColor="text1"/>
          <w:rtl/>
        </w:rPr>
        <w:t xml:space="preserve">ام؛ </w:t>
      </w:r>
      <w:r>
        <w:rPr>
          <w:rFonts w:ascii="Noor_Titr" w:hAnsi="Noor_Titr" w:cs="B Badr"/>
          <w:color w:val="000000" w:themeColor="text1"/>
          <w:rtl/>
        </w:rPr>
        <w:t>ج 10</w:t>
      </w:r>
      <w:r w:rsidRPr="00B41FB3">
        <w:rPr>
          <w:rFonts w:ascii="Noor_Titr" w:hAnsi="Noor_Titr" w:cs="B Badr"/>
          <w:color w:val="000000" w:themeColor="text1"/>
          <w:rtl/>
        </w:rPr>
        <w:t>، ص: 88</w:t>
      </w:r>
    </w:p>
  </w:footnote>
  <w:footnote w:id="2">
    <w:p w:rsidR="00494DC0" w:rsidRDefault="00494DC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94DC0">
        <w:rPr>
          <w:rFonts w:ascii="Noor_Titr" w:hAnsi="Noor_Titr" w:cs="B Badr" w:hint="cs"/>
          <w:color w:val="000000" w:themeColor="text1"/>
          <w:rtl/>
        </w:rPr>
        <w:t xml:space="preserve">من لا 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494DC0">
        <w:rPr>
          <w:rFonts w:ascii="Noor_Titr" w:hAnsi="Noor_Titr" w:cs="B Badr" w:hint="cs"/>
          <w:color w:val="000000" w:themeColor="text1"/>
          <w:rtl/>
        </w:rPr>
        <w:t>حضره الفق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494DC0">
        <w:rPr>
          <w:rFonts w:ascii="Noor_Titr" w:hAnsi="Noor_Titr" w:cs="B Badr" w:hint="cs"/>
          <w:color w:val="000000" w:themeColor="text1"/>
          <w:rtl/>
        </w:rPr>
        <w:t xml:space="preserve">ه؛ </w:t>
      </w:r>
      <w:r>
        <w:rPr>
          <w:rFonts w:ascii="Noor_Titr" w:hAnsi="Noor_Titr" w:cs="B Badr"/>
          <w:color w:val="000000" w:themeColor="text1"/>
          <w:rtl/>
        </w:rPr>
        <w:t>ج 4</w:t>
      </w:r>
      <w:r w:rsidRPr="00494DC0">
        <w:rPr>
          <w:rFonts w:ascii="Noor_Titr" w:hAnsi="Noor_Titr" w:cs="B Badr" w:hint="cs"/>
          <w:color w:val="000000" w:themeColor="text1"/>
          <w:rtl/>
        </w:rPr>
        <w:t>، ص: 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0" w:rsidRDefault="00494D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B725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4567F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B725D">
      <w:rPr>
        <w:rFonts w:ascii="IranNastaliq" w:hAnsi="IranNastaliq" w:cs="IranNastaliq" w:hint="cs"/>
        <w:sz w:val="40"/>
        <w:szCs w:val="40"/>
        <w:rtl/>
      </w:rPr>
      <w:t>789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0" w:rsidRDefault="00494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228A2"/>
    <w:rsid w:val="000324F1"/>
    <w:rsid w:val="00041FE0"/>
    <w:rsid w:val="00052BA3"/>
    <w:rsid w:val="00054DCD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1F66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1AED"/>
    <w:rsid w:val="00405199"/>
    <w:rsid w:val="00410699"/>
    <w:rsid w:val="00415360"/>
    <w:rsid w:val="0044591E"/>
    <w:rsid w:val="004651D2"/>
    <w:rsid w:val="00465D26"/>
    <w:rsid w:val="004679F8"/>
    <w:rsid w:val="00494DC0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0826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DC0"/>
    <w:rsid w:val="00DB28BB"/>
    <w:rsid w:val="00DC603F"/>
    <w:rsid w:val="00DC6A2B"/>
    <w:rsid w:val="00DD3C0D"/>
    <w:rsid w:val="00DD4864"/>
    <w:rsid w:val="00DD71A2"/>
    <w:rsid w:val="00DE1DC4"/>
    <w:rsid w:val="00DE3B98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E614-913F-4708-A760-BE3C5712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74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10</cp:revision>
  <dcterms:created xsi:type="dcterms:W3CDTF">2014-12-20T10:23:00Z</dcterms:created>
  <dcterms:modified xsi:type="dcterms:W3CDTF">2015-07-25T20:36:00Z</dcterms:modified>
</cp:coreProperties>
</file>