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367F" w:rsidRPr="00D70B93" w:rsidTr="00081F71">
        <w:tc>
          <w:tcPr>
            <w:tcW w:w="4788" w:type="dxa"/>
          </w:tcPr>
          <w:p w:rsidR="00ED367F" w:rsidRPr="00D70B93" w:rsidRDefault="00ED367F" w:rsidP="007D28D6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ED367F" w:rsidRPr="00D70B93" w:rsidRDefault="00ED367F" w:rsidP="007D28D6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bookmarkEnd w:id="0"/>
    <w:p w:rsidR="00ED367F" w:rsidRPr="00D70B93" w:rsidRDefault="00ED367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D269EC" w:rsidRPr="00D70B93" w:rsidRDefault="00D269EC" w:rsidP="00D269E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269EC" w:rsidRPr="00D70B93" w:rsidRDefault="00D269EC" w:rsidP="00D269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D70B93">
        <w:rPr>
          <w:rFonts w:ascii="IRBadr" w:hAnsi="IRBadr" w:cs="IRBadr"/>
          <w:sz w:val="28"/>
          <w:rtl/>
        </w:rPr>
        <w:fldChar w:fldCharType="begin"/>
      </w:r>
      <w:r w:rsidRPr="00D70B93">
        <w:rPr>
          <w:rFonts w:ascii="IRBadr" w:hAnsi="IRBadr" w:cs="IRBadr"/>
          <w:sz w:val="28"/>
          <w:rtl/>
        </w:rPr>
        <w:instrText xml:space="preserve"> </w:instrText>
      </w:r>
      <w:r w:rsidRPr="00D70B93">
        <w:rPr>
          <w:rFonts w:ascii="IRBadr" w:hAnsi="IRBadr" w:cs="IRBadr"/>
          <w:sz w:val="28"/>
        </w:rPr>
        <w:instrText>TOC</w:instrText>
      </w:r>
      <w:r w:rsidRPr="00D70B93">
        <w:rPr>
          <w:rFonts w:ascii="IRBadr" w:hAnsi="IRBadr" w:cs="IRBadr"/>
          <w:sz w:val="28"/>
          <w:rtl/>
        </w:rPr>
        <w:instrText xml:space="preserve"> \</w:instrText>
      </w:r>
      <w:r w:rsidRPr="00D70B93">
        <w:rPr>
          <w:rFonts w:ascii="IRBadr" w:hAnsi="IRBadr" w:cs="IRBadr"/>
          <w:sz w:val="28"/>
        </w:rPr>
        <w:instrText>o "</w:instrText>
      </w:r>
      <w:r w:rsidRPr="00D70B93">
        <w:rPr>
          <w:rFonts w:ascii="IRBadr" w:hAnsi="IRBadr" w:cs="IRBadr"/>
          <w:sz w:val="28"/>
          <w:rtl/>
        </w:rPr>
        <w:instrText>1-4</w:instrText>
      </w:r>
      <w:r w:rsidRPr="00D70B93">
        <w:rPr>
          <w:rFonts w:ascii="IRBadr" w:hAnsi="IRBadr" w:cs="IRBadr"/>
          <w:sz w:val="28"/>
        </w:rPr>
        <w:instrText>" \h \z \u</w:instrText>
      </w:r>
      <w:r w:rsidRPr="00D70B93">
        <w:rPr>
          <w:rFonts w:ascii="IRBadr" w:hAnsi="IRBadr" w:cs="IRBadr"/>
          <w:sz w:val="28"/>
          <w:rtl/>
        </w:rPr>
        <w:instrText xml:space="preserve"> </w:instrText>
      </w:r>
      <w:r w:rsidRPr="00D70B93">
        <w:rPr>
          <w:rFonts w:ascii="IRBadr" w:hAnsi="IRBadr" w:cs="IRBadr"/>
          <w:sz w:val="28"/>
          <w:rtl/>
        </w:rPr>
        <w:fldChar w:fldCharType="separate"/>
      </w:r>
      <w:hyperlink w:anchor="_Toc426276858" w:history="1">
        <w:r w:rsidRPr="00D70B93">
          <w:rPr>
            <w:rStyle w:val="Hyperlink"/>
            <w:rFonts w:ascii="IRBadr" w:hAnsi="IRBadr" w:cs="IRBadr"/>
            <w:noProof/>
            <w:rtl/>
          </w:rPr>
          <w:t>صراحت لفظ در قذف</w:t>
        </w:r>
        <w:r w:rsidRPr="00D70B93">
          <w:rPr>
            <w:rFonts w:ascii="IRBadr" w:hAnsi="IRBadr" w:cs="IRBadr"/>
            <w:noProof/>
            <w:webHidden/>
          </w:rPr>
          <w:tab/>
        </w:r>
        <w:r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D70B93">
          <w:rPr>
            <w:rFonts w:ascii="IRBadr" w:hAnsi="IRBadr" w:cs="IRBadr"/>
            <w:noProof/>
            <w:webHidden/>
          </w:rPr>
          <w:instrText xml:space="preserve"> PAGEREF _Toc426276858 \h </w:instrText>
        </w:r>
        <w:r w:rsidRPr="00D70B93">
          <w:rPr>
            <w:rStyle w:val="Hyperlink"/>
            <w:rFonts w:ascii="IRBadr" w:hAnsi="IRBadr" w:cs="IRBadr"/>
            <w:noProof/>
            <w:rtl/>
          </w:rPr>
        </w:r>
        <w:r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D70B93">
          <w:rPr>
            <w:rFonts w:ascii="IRBadr" w:hAnsi="IRBadr" w:cs="IRBadr"/>
            <w:noProof/>
            <w:webHidden/>
          </w:rPr>
          <w:t>1</w:t>
        </w:r>
        <w:r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59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_Toc426276859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1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0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جمع بندی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_Toc426276860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2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1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دلالت‌های خاص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_Toc426276861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2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2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_Toc426276862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2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3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دلالت لفظ در قذف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_Toc426276863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3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4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جمع بندی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_Toc426276864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3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5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انواع شناخت در الفاظ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_Toc426276865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3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6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_Toc426276866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4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7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قسم سوم از دلالت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_Toc426276867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4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8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قسم چهارم و پنجم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_Toc426276868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4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69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_Toc426276869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4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700696" w:rsidP="00D269E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70" w:history="1">
        <w:r w:rsidR="00D269EC" w:rsidRPr="00D70B93">
          <w:rPr>
            <w:rStyle w:val="Hyperlink"/>
            <w:rFonts w:ascii="IRBadr" w:hAnsi="IRBadr" w:cs="IRBadr"/>
            <w:noProof/>
            <w:rtl/>
          </w:rPr>
          <w:t>تشخیص قصد</w:t>
        </w:r>
        <w:r w:rsidR="00D269EC" w:rsidRPr="00D70B93">
          <w:rPr>
            <w:rFonts w:ascii="IRBadr" w:hAnsi="IRBadr" w:cs="IRBadr"/>
            <w:noProof/>
            <w:webHidden/>
          </w:rPr>
          <w:tab/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269EC" w:rsidRPr="00D70B93">
          <w:rPr>
            <w:rFonts w:ascii="IRBadr" w:hAnsi="IRBadr" w:cs="IRBadr"/>
            <w:noProof/>
            <w:webHidden/>
          </w:rPr>
          <w:instrText xml:space="preserve"> PAGEREF _Toc426276870 \h </w:instrText>
        </w:r>
        <w:r w:rsidR="00D269EC" w:rsidRPr="00D70B93">
          <w:rPr>
            <w:rStyle w:val="Hyperlink"/>
            <w:rFonts w:ascii="IRBadr" w:hAnsi="IRBadr" w:cs="IRBadr"/>
            <w:noProof/>
            <w:rtl/>
          </w:rPr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269EC" w:rsidRPr="00D70B93">
          <w:rPr>
            <w:rFonts w:ascii="IRBadr" w:hAnsi="IRBadr" w:cs="IRBadr"/>
            <w:noProof/>
            <w:webHidden/>
          </w:rPr>
          <w:t>5</w:t>
        </w:r>
        <w:r w:rsidR="00D269EC" w:rsidRPr="00D70B9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269EC" w:rsidRPr="00D70B93" w:rsidRDefault="00D269EC" w:rsidP="00D269E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70B93" w:rsidRDefault="00D70B93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276858"/>
      <w:r>
        <w:rPr>
          <w:rFonts w:ascii="IRBadr" w:hAnsi="IRBadr" w:cs="IRBadr"/>
          <w:rtl/>
        </w:rPr>
        <w:br w:type="page"/>
      </w:r>
    </w:p>
    <w:p w:rsidR="004C231F" w:rsidRPr="00D70B93" w:rsidRDefault="004C231F" w:rsidP="007D28D6">
      <w:pPr>
        <w:pStyle w:val="Heading1"/>
        <w:rPr>
          <w:rFonts w:ascii="IRBadr" w:hAnsi="IRBadr" w:cs="IRBadr"/>
          <w:rtl/>
        </w:rPr>
      </w:pPr>
      <w:r w:rsidRPr="00D70B93">
        <w:rPr>
          <w:rFonts w:ascii="IRBadr" w:hAnsi="IRBadr" w:cs="IRBadr"/>
          <w:rtl/>
        </w:rPr>
        <w:lastRenderedPageBreak/>
        <w:t>صراحت لفظ در قذف</w:t>
      </w:r>
      <w:bookmarkEnd w:id="1"/>
    </w:p>
    <w:p w:rsidR="004C231F" w:rsidRPr="00D70B93" w:rsidRDefault="004C231F" w:rsidP="007D28D6">
      <w:pPr>
        <w:pStyle w:val="Heading1"/>
        <w:rPr>
          <w:rFonts w:ascii="IRBadr" w:hAnsi="IRBadr" w:cs="IRBadr"/>
          <w:rtl/>
        </w:rPr>
      </w:pPr>
      <w:bookmarkStart w:id="2" w:name="_Toc426276859"/>
      <w:r w:rsidRPr="00D70B93">
        <w:rPr>
          <w:rFonts w:ascii="IRBadr" w:hAnsi="IRBadr" w:cs="IRBadr"/>
          <w:rtl/>
        </w:rPr>
        <w:t>مرور بحث گذشته</w:t>
      </w:r>
      <w:bookmarkEnd w:id="2"/>
    </w:p>
    <w:p w:rsidR="004C231F" w:rsidRPr="00D70B93" w:rsidRDefault="004C231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در مسأله دوم بیان شد که؛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لفظی که جهت قذف به کار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تصریحی وجود داشته باشد،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در این زمینه گرفته شد این بود که؛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لفظ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یا باید دارای صراحت و یا ظهوری قوی باشد،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اگر دارای ظهوری ضعیف باشد،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جای قاعده درع خواهد بود.</w:t>
      </w:r>
    </w:p>
    <w:p w:rsidR="004C231F" w:rsidRPr="00D70B93" w:rsidRDefault="004C231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از جمله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شرایط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دیگری که در تحقق حد قذف لازم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آشنایی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قاذف با معنای الفاظی است که به کار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شد؛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آشنایی رابطه نزدیکی با قصد قاذف در ایراد نسبیت فحشایی او دارد.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 شرط جدای از آنچه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بعداً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به عنوان قصد 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>مطرح خواهد 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به‌هیچ‌وجه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نمی‌باشد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>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کما اینکه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 xml:space="preserve"> شروط دیگری همچون عاقلیت،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بالغیت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 xml:space="preserve"> و ...نیز در این زمینه وجود دارد.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 xml:space="preserve"> فرد در بی</w:t>
      </w:r>
      <w:r w:rsidR="00D70B93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 xml:space="preserve">هوشی به سر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="009E1BEC" w:rsidRPr="00D70B93">
        <w:rPr>
          <w:rFonts w:ascii="IRBadr" w:hAnsi="IRBadr" w:cs="IRBadr"/>
          <w:sz w:val="28"/>
          <w:szCs w:val="28"/>
          <w:rtl/>
          <w:lang w:bidi="fa-IR"/>
        </w:rPr>
        <w:t xml:space="preserve"> و از جانب او توجهی به مضمون کلامش وجود ندارد،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D2336D" w:rsidRPr="00D70B93">
        <w:rPr>
          <w:rFonts w:ascii="IRBadr" w:hAnsi="IRBadr" w:cs="IRBadr"/>
          <w:sz w:val="28"/>
          <w:szCs w:val="28"/>
          <w:rtl/>
          <w:lang w:bidi="fa-IR"/>
        </w:rPr>
        <w:t xml:space="preserve"> قذف صادر نخواهد شد.</w:t>
      </w:r>
    </w:p>
    <w:p w:rsidR="00D2336D" w:rsidRPr="00D70B93" w:rsidRDefault="00D2336D" w:rsidP="007D28D6">
      <w:pPr>
        <w:pStyle w:val="Heading1"/>
        <w:rPr>
          <w:rFonts w:ascii="IRBadr" w:hAnsi="IRBadr" w:cs="IRBadr"/>
          <w:rtl/>
        </w:rPr>
      </w:pPr>
      <w:bookmarkStart w:id="3" w:name="_Toc426276860"/>
      <w:r w:rsidRPr="00D70B93">
        <w:rPr>
          <w:rFonts w:ascii="IRBadr" w:hAnsi="IRBadr" w:cs="IRBadr"/>
          <w:rtl/>
        </w:rPr>
        <w:t>جمع بندی</w:t>
      </w:r>
      <w:bookmarkEnd w:id="3"/>
    </w:p>
    <w:p w:rsidR="009E1BEC" w:rsidRPr="00D70B93" w:rsidRDefault="00D2336D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بنابراین،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قاصدیت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فرد و دلالت لفظ بر آن معنی این دو،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امور اجماعی در زمینه محققین حد قذف هستند،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این میان نوع لغت خصوصیت ندارد،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آنچه مهم است آشنایی قاذف با معنی و مراد از آن لفظ و همراهی قصد با آن است.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قذف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به‌هیچ‌وجه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عربیت شرط نشده است.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واقع یک شرط نسبت به صیغه وجود دارد که همان صراحت یا ظهور قوی است و یک شرط نیز نسبت به خود قاذف وجود دارد که عارف به معنای لغت و کیفیت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افاده‌ای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آن باشد.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این عرفان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برای خود شرط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علی‌حده‌ای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نیست بلکه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به همان شرط قصد که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بیان شد. پس صدق قذف پیرو تحقق سه شرط تاکنون است؛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عرفان</w:t>
      </w:r>
      <w:r w:rsidR="006C42F1" w:rsidRPr="00D70B93">
        <w:rPr>
          <w:rFonts w:ascii="IRBadr" w:hAnsi="IRBadr" w:cs="IRBadr"/>
          <w:sz w:val="28"/>
          <w:szCs w:val="28"/>
          <w:rtl/>
          <w:lang w:bidi="fa-IR"/>
        </w:rPr>
        <w:t xml:space="preserve"> لغت،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 w:rsidR="006C42F1" w:rsidRPr="00D70B93">
        <w:rPr>
          <w:rFonts w:ascii="IRBadr" w:hAnsi="IRBadr" w:cs="IRBadr"/>
          <w:sz w:val="28"/>
          <w:szCs w:val="28"/>
          <w:rtl/>
          <w:lang w:bidi="fa-IR"/>
        </w:rPr>
        <w:t xml:space="preserve"> و دلالت لغت.</w:t>
      </w:r>
    </w:p>
    <w:p w:rsidR="00D2336D" w:rsidRPr="00D70B93" w:rsidRDefault="007D28D6" w:rsidP="007D28D6">
      <w:pPr>
        <w:pStyle w:val="Heading1"/>
        <w:rPr>
          <w:rFonts w:ascii="IRBadr" w:hAnsi="IRBadr" w:cs="IRBadr"/>
          <w:rtl/>
        </w:rPr>
      </w:pPr>
      <w:bookmarkStart w:id="4" w:name="_Toc426276861"/>
      <w:r w:rsidRPr="00D70B93">
        <w:rPr>
          <w:rFonts w:ascii="IRBadr" w:hAnsi="IRBadr" w:cs="IRBadr"/>
          <w:rtl/>
        </w:rPr>
        <w:t>دلالت‌های</w:t>
      </w:r>
      <w:r w:rsidR="006C42F1" w:rsidRPr="00D70B93">
        <w:rPr>
          <w:rFonts w:ascii="IRBadr" w:hAnsi="IRBadr" w:cs="IRBadr"/>
          <w:rtl/>
        </w:rPr>
        <w:t xml:space="preserve"> خاص</w:t>
      </w:r>
      <w:bookmarkEnd w:id="4"/>
    </w:p>
    <w:p w:rsidR="006C42F1" w:rsidRPr="00D70B93" w:rsidRDefault="006C42F1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گاهی است که دلالت، دلالت عامی بوده و دارای وضعی خاص نیست،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سؤالی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در اینجا مطرح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بوده که؛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اینگونه موارد باز موجب صدق قذف خواهد شد یا خیر؟</w:t>
      </w:r>
    </w:p>
    <w:p w:rsidR="00856227" w:rsidRPr="00D70B93" w:rsidRDefault="00856227" w:rsidP="007D28D6">
      <w:pPr>
        <w:pStyle w:val="Heading1"/>
        <w:rPr>
          <w:rFonts w:ascii="IRBadr" w:hAnsi="IRBadr" w:cs="IRBadr"/>
          <w:rtl/>
        </w:rPr>
      </w:pPr>
      <w:bookmarkStart w:id="5" w:name="_Toc426276862"/>
      <w:r w:rsidRPr="00D70B93">
        <w:rPr>
          <w:rFonts w:ascii="IRBadr" w:hAnsi="IRBadr" w:cs="IRBadr"/>
          <w:rtl/>
        </w:rPr>
        <w:lastRenderedPageBreak/>
        <w:t>اتخاذ مبنا</w:t>
      </w:r>
      <w:bookmarkEnd w:id="5"/>
    </w:p>
    <w:p w:rsidR="00D2336D" w:rsidRPr="00D70B93" w:rsidRDefault="006C42F1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این،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شرطی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است که در کلام فقها ذکر نشده است و در کلمات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قدما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و متأخرین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ندیده‌ام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کسی قائل شود با این نحو از گفتار،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قذف محقق شده است.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صورت استعمال بعید نیست که شرط لازم بیان شده،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تحقق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پیدا کند.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اینگونه نیست که این بحث مورد ابتلا نباشد،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حتی در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جمع‌های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چندنفری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ممکن است این حالت پیش بیاید.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اگر این لفظ دلالتی در ناحیه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چندنفره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نیز داشته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آن زمان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856227" w:rsidRPr="00D70B93">
        <w:rPr>
          <w:rFonts w:ascii="IRBadr" w:hAnsi="IRBadr" w:cs="IRBadr"/>
          <w:sz w:val="28"/>
          <w:szCs w:val="28"/>
          <w:rtl/>
          <w:lang w:bidi="fa-IR"/>
        </w:rPr>
        <w:t xml:space="preserve"> قذف صادق است.</w:t>
      </w:r>
    </w:p>
    <w:p w:rsidR="006C42F1" w:rsidRPr="00D70B93" w:rsidRDefault="00856227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و اینکه در اینجا گفته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قاعده درع صادق نیست، به این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135E4C" w:rsidRPr="00D70B93">
        <w:rPr>
          <w:rFonts w:ascii="IRBadr" w:hAnsi="IRBadr" w:cs="IRBadr"/>
          <w:sz w:val="28"/>
          <w:szCs w:val="28"/>
          <w:rtl/>
          <w:lang w:bidi="fa-IR"/>
        </w:rPr>
        <w:t>احتمال انصراف ادله به اینجا،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احتمال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قوی‌ای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است. و به نظر می‌رسد</w:t>
      </w:r>
      <w:r w:rsidR="00135E4C" w:rsidRPr="00D70B93">
        <w:rPr>
          <w:rFonts w:ascii="IRBadr" w:hAnsi="IRBadr" w:cs="IRBadr"/>
          <w:sz w:val="28"/>
          <w:szCs w:val="28"/>
          <w:rtl/>
          <w:lang w:bidi="fa-IR"/>
        </w:rPr>
        <w:t xml:space="preserve"> فقها به این فرع توجهی نداشتند.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لهجه در طول زمان رو به افزایش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لغت‌ها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این زمینه لغت عام و برخی لغت خاص هستند،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قسم عام آن مانعی برای حصول صدق قذف وجود ندارد، اما در قسم خاص که حا</w:t>
      </w:r>
      <w:r w:rsidR="00D70B93">
        <w:rPr>
          <w:rFonts w:ascii="IRBadr" w:hAnsi="IRBadr" w:cs="IRBadr" w:hint="cs"/>
          <w:sz w:val="28"/>
          <w:szCs w:val="28"/>
          <w:rtl/>
          <w:lang w:bidi="fa-IR"/>
        </w:rPr>
        <w:t>ل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تی شخصی پیدا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اینجا شبهه وجود دارد که احتمال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آیه رمی دلالت بر حصول آن در فضایی عمومی دارد.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 احتمال انصراف را به نحوی قطعی بیان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627EC" w:rsidRPr="00D70B93" w:rsidRDefault="00ED367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و انصراف موجب می‌شود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بیاید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و قاعده تدرع الحدود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صادق نیست. 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احتمال انصراف کافی است که برای اینکه قاعده درع بگوید در اینجا حد جاری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627EC" w:rsidRPr="00D70B93" w:rsidRDefault="00A627EC" w:rsidP="007D28D6">
      <w:pPr>
        <w:pStyle w:val="Heading1"/>
        <w:rPr>
          <w:rFonts w:ascii="IRBadr" w:hAnsi="IRBadr" w:cs="IRBadr"/>
          <w:rtl/>
        </w:rPr>
      </w:pPr>
      <w:bookmarkStart w:id="6" w:name="_Toc426276863"/>
      <w:r w:rsidRPr="00D70B93">
        <w:rPr>
          <w:rFonts w:ascii="IRBadr" w:hAnsi="IRBadr" w:cs="IRBadr"/>
          <w:rtl/>
        </w:rPr>
        <w:t>دلالت لفظ در قذف</w:t>
      </w:r>
      <w:bookmarkEnd w:id="6"/>
    </w:p>
    <w:p w:rsidR="00A627EC" w:rsidRPr="00D70B93" w:rsidRDefault="00D70B93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باید بدان توجه داشت،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A627EC" w:rsidRPr="00D70B93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D8541D" w:rsidRPr="00D70B93">
        <w:rPr>
          <w:rFonts w:ascii="IRBadr" w:hAnsi="IRBadr" w:cs="IRBadr"/>
          <w:sz w:val="28"/>
          <w:szCs w:val="28"/>
          <w:rtl/>
          <w:lang w:bidi="fa-IR"/>
        </w:rPr>
        <w:t xml:space="preserve"> لفظ مشترک نیست و در آن تعینی وجود ندارد،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D8541D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D8541D" w:rsidRPr="00D70B93">
        <w:rPr>
          <w:rFonts w:ascii="IRBadr" w:hAnsi="IRBadr" w:cs="IRBadr"/>
          <w:sz w:val="28"/>
          <w:szCs w:val="28"/>
          <w:rtl/>
          <w:lang w:bidi="fa-IR"/>
        </w:rPr>
        <w:t xml:space="preserve"> وجود داشته باشد که قاذف چه چیزی از آن اراده نموده است.</w:t>
      </w:r>
    </w:p>
    <w:p w:rsidR="00295360" w:rsidRPr="00D70B93" w:rsidRDefault="00295360" w:rsidP="007D28D6">
      <w:pPr>
        <w:pStyle w:val="Heading1"/>
        <w:rPr>
          <w:rFonts w:ascii="IRBadr" w:hAnsi="IRBadr" w:cs="IRBadr"/>
          <w:rtl/>
        </w:rPr>
      </w:pPr>
      <w:bookmarkStart w:id="7" w:name="_Toc426276864"/>
      <w:r w:rsidRPr="00D70B93">
        <w:rPr>
          <w:rFonts w:ascii="IRBadr" w:hAnsi="IRBadr" w:cs="IRBadr"/>
          <w:rtl/>
        </w:rPr>
        <w:t>جمع بندی</w:t>
      </w:r>
      <w:bookmarkEnd w:id="7"/>
    </w:p>
    <w:p w:rsidR="00295360" w:rsidRPr="00D70B93" w:rsidRDefault="00ED367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بنابراین باید لفظ معنای واحدی داشته باشد، یا اگر معانی متعددی دارد که </w:t>
      </w:r>
      <w:r w:rsidR="00295360" w:rsidRPr="00D70B93">
        <w:rPr>
          <w:rFonts w:ascii="IRBadr" w:hAnsi="IRBadr" w:cs="IRBadr"/>
          <w:sz w:val="28"/>
          <w:szCs w:val="28"/>
          <w:rtl/>
          <w:lang w:bidi="fa-IR"/>
        </w:rPr>
        <w:t xml:space="preserve">یکی از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95360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قبال زنا یا لواط است،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295360" w:rsidRPr="00D70B93">
        <w:rPr>
          <w:rFonts w:ascii="IRBadr" w:hAnsi="IRBadr" w:cs="IRBadr"/>
          <w:sz w:val="28"/>
          <w:szCs w:val="28"/>
          <w:rtl/>
          <w:lang w:bidi="fa-IR"/>
        </w:rPr>
        <w:t xml:space="preserve"> وجود داشته باشد که 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آن را قذف تلقی کنیم. اگر لفظ معنای حقیقی و مجازی دارد، حقیقی آن اگر زنا است، قرینه که نبود همان کافی است برای اینکه بگوییم نسبت است. اما اگر معنای مجازی زنا</w:t>
      </w:r>
      <w:r w:rsidR="00295360" w:rsidRPr="00D70B93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دارد، نسبت </w:t>
      </w:r>
      <w:r w:rsidR="00295360" w:rsidRPr="00D70B93">
        <w:rPr>
          <w:rFonts w:ascii="IRBadr" w:hAnsi="IRBadr" w:cs="IRBadr"/>
          <w:sz w:val="28"/>
          <w:szCs w:val="28"/>
          <w:rtl/>
          <w:lang w:bidi="fa-IR"/>
        </w:rPr>
        <w:t>ط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بعاً قرینه می‌خواهد.</w:t>
      </w:r>
    </w:p>
    <w:p w:rsidR="00295360" w:rsidRPr="00D70B93" w:rsidRDefault="00295360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باید این اراده به مرز ظهور برسد،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صرف بودن قصد دلیل بر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ظهور نیست،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حقیقت این دو از یکدیگر جدا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عرفان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نسبت به لغت که بیان 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به اینکه معنی لفظ را بداند،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بداند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بر چه دلالت دارد،</w:t>
      </w:r>
    </w:p>
    <w:p w:rsidR="00295360" w:rsidRPr="00D70B93" w:rsidRDefault="006855A3" w:rsidP="007D28D6">
      <w:pPr>
        <w:pStyle w:val="Heading2"/>
        <w:rPr>
          <w:rFonts w:ascii="IRBadr" w:hAnsi="IRBadr" w:cs="IRBadr"/>
          <w:rtl/>
        </w:rPr>
      </w:pPr>
      <w:bookmarkStart w:id="8" w:name="_Toc426276865"/>
      <w:r w:rsidRPr="00D70B93">
        <w:rPr>
          <w:rFonts w:ascii="IRBadr" w:hAnsi="IRBadr" w:cs="IRBadr"/>
          <w:rtl/>
        </w:rPr>
        <w:lastRenderedPageBreak/>
        <w:t>انواع شناخت در الفاظ</w:t>
      </w:r>
      <w:bookmarkEnd w:id="8"/>
    </w:p>
    <w:p w:rsidR="006855A3" w:rsidRPr="00D70B93" w:rsidRDefault="006855A3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این معرفت نسبت به معانی بر انواع متفاوتی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برخی موارد قاذف به نحوی تفصیلی به معنایی که نسبت داده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واقف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می‌داند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این لفظ برای این معنی وضع شده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اگر قصدی نیز در آن زمینه وجود داشته باشد،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جهت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صدق قذف مانعی وجود ندارد.</w:t>
      </w:r>
    </w:p>
    <w:p w:rsidR="006855A3" w:rsidRPr="00D70B93" w:rsidRDefault="006855A3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صورت دیگری که در اینجا وجود دارد بدین صورت است که او معنی و دلالت لغت را به نحو دقیق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نمی‌داند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تصوری نسبی نسبت به آن درون او شکل گرفته است.</w:t>
      </w:r>
    </w:p>
    <w:p w:rsidR="006855A3" w:rsidRPr="00D70B93" w:rsidRDefault="006855A3" w:rsidP="007D28D6">
      <w:pPr>
        <w:pStyle w:val="Heading2"/>
        <w:rPr>
          <w:rFonts w:ascii="IRBadr" w:hAnsi="IRBadr" w:cs="IRBadr"/>
          <w:rtl/>
        </w:rPr>
      </w:pPr>
      <w:bookmarkStart w:id="9" w:name="_Toc426276866"/>
      <w:r w:rsidRPr="00D70B93">
        <w:rPr>
          <w:rFonts w:ascii="IRBadr" w:hAnsi="IRBadr" w:cs="IRBadr"/>
          <w:rtl/>
        </w:rPr>
        <w:t>اتخاذ مبنا</w:t>
      </w:r>
      <w:bookmarkEnd w:id="9"/>
    </w:p>
    <w:p w:rsidR="006855A3" w:rsidRPr="00D70B93" w:rsidRDefault="006855A3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در این نیز مانند قسم اول،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بحثی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نیست که حد قذف ثابت خواهد بود.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بداند این لغت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دربردارنده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آن معنی است کفایت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و نیازی به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لغت‌شناسی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6855A3" w:rsidRPr="00D70B93" w:rsidRDefault="006855A3" w:rsidP="007D28D6">
      <w:pPr>
        <w:pStyle w:val="Heading2"/>
        <w:rPr>
          <w:rFonts w:ascii="IRBadr" w:hAnsi="IRBadr" w:cs="IRBadr"/>
          <w:rtl/>
        </w:rPr>
      </w:pPr>
      <w:bookmarkStart w:id="10" w:name="_Toc426276867"/>
      <w:r w:rsidRPr="00D70B93">
        <w:rPr>
          <w:rFonts w:ascii="IRBadr" w:hAnsi="IRBadr" w:cs="IRBadr"/>
          <w:rtl/>
        </w:rPr>
        <w:t>قسم سوم از دلالت</w:t>
      </w:r>
      <w:bookmarkEnd w:id="10"/>
    </w:p>
    <w:p w:rsidR="006855A3" w:rsidRPr="00D70B93" w:rsidRDefault="006855A3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فرضی دیگر او آشنا به لغت نیست،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با اعتماد به دیگران آن معنی را به کار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 قسم نیز بحثی وجود ندارد،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آنچه که بیشتر مورد بحث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بوده که فرد بداند این لغت به نحو اجمال دلالت بر فحش دارد،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نسبت آن به زنا را از آن آگاه نیست،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اینجا یعنی قسم سوم چون توهین به دیگران است،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حد جاری شود.</w:t>
      </w:r>
    </w:p>
    <w:p w:rsidR="00B53E4B" w:rsidRPr="00D70B93" w:rsidRDefault="00B53E4B" w:rsidP="007D28D6">
      <w:pPr>
        <w:pStyle w:val="Heading2"/>
        <w:rPr>
          <w:rFonts w:ascii="IRBadr" w:hAnsi="IRBadr" w:cs="IRBadr"/>
          <w:rtl/>
        </w:rPr>
      </w:pPr>
      <w:bookmarkStart w:id="11" w:name="_Toc426276868"/>
      <w:r w:rsidRPr="00D70B93">
        <w:rPr>
          <w:rFonts w:ascii="IRBadr" w:hAnsi="IRBadr" w:cs="IRBadr"/>
          <w:rtl/>
        </w:rPr>
        <w:t>قسم چهارم و پنجم</w:t>
      </w:r>
      <w:bookmarkEnd w:id="11"/>
    </w:p>
    <w:p w:rsidR="00B53E4B" w:rsidRPr="00D70B93" w:rsidRDefault="00B53E4B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>در این صورت حتی به فحش بودن آن به نحو اجمالی نیز اطلاعی ندارد،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توجه دارد که شاید دلالت بر نوعی نسبت زنا کند.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صورت بعدی این است که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اصلاً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توجه موجود در فرض سابق نیز در او وجود ندارد،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جهل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بسیط است.</w:t>
      </w:r>
    </w:p>
    <w:p w:rsidR="00B53E4B" w:rsidRPr="00D70B93" w:rsidRDefault="00B53E4B" w:rsidP="007D28D6">
      <w:pPr>
        <w:pStyle w:val="Heading2"/>
        <w:rPr>
          <w:rFonts w:ascii="IRBadr" w:hAnsi="IRBadr" w:cs="IRBadr"/>
          <w:rtl/>
        </w:rPr>
      </w:pPr>
      <w:bookmarkStart w:id="12" w:name="_Toc426276869"/>
      <w:r w:rsidRPr="00D70B93">
        <w:rPr>
          <w:rFonts w:ascii="IRBadr" w:hAnsi="IRBadr" w:cs="IRBadr"/>
          <w:rtl/>
        </w:rPr>
        <w:t>اتخاذ مبنا</w:t>
      </w:r>
      <w:bookmarkEnd w:id="12"/>
    </w:p>
    <w:p w:rsidR="00B53E4B" w:rsidRPr="00D70B93" w:rsidRDefault="00ED367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پس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صورت اول و دوم قطعاً قذف است، اما صورت سوم و چهارم و پنجم که لغتی را به کار می‌برد و می‌داند فحش است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. احتمال هم می‌دهد نسبت زنا در این باشد. یا لغتی به کار می‌برد، نمی‌داند،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احتمال می‌دهد که نسبت زن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>ا در آن باشد، ولی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حتی 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lastRenderedPageBreak/>
        <w:t>اصل فحش بودن آن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نمی‌داند. و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>فرضی که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لغتی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به کار می‌برد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>و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اصلاً غافل از این است که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>ممکن است نسبت زنا در آن باشد،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 صورت پنجم قذفی شکل نخواهد گرفت و 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تقریباً محل وفاق بین فقها است.</w:t>
      </w:r>
    </w:p>
    <w:p w:rsidR="00B53E4B" w:rsidRPr="00D70B93" w:rsidRDefault="00ED367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انما الکلام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صورت سوم و چهارم که احتمال می‌دهد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نمی‌داند که دلالت بر زنا می‌کند یا </w:t>
      </w:r>
      <w:r w:rsidR="00B53E4B" w:rsidRPr="00D70B93">
        <w:rPr>
          <w:rFonts w:ascii="IRBadr" w:hAnsi="IRBadr" w:cs="IRBadr"/>
          <w:sz w:val="28"/>
          <w:szCs w:val="28"/>
          <w:rtl/>
          <w:lang w:bidi="fa-IR"/>
        </w:rPr>
        <w:t>خیر؟</w:t>
      </w:r>
    </w:p>
    <w:p w:rsidR="00046731" w:rsidRPr="00D70B93" w:rsidRDefault="00ED367F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اینجا محل کلام است که فرض گرفتیم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دلالت می‌کند. اگر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دلالت نداشته </w:t>
      </w:r>
      <w:r w:rsidR="00046731" w:rsidRPr="00D70B93">
        <w:rPr>
          <w:rFonts w:ascii="IRBadr" w:hAnsi="IRBadr" w:cs="IRBadr"/>
          <w:sz w:val="28"/>
          <w:szCs w:val="28"/>
          <w:rtl/>
          <w:lang w:bidi="fa-IR"/>
        </w:rPr>
        <w:t>و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وضع نداشته باشد قطعاً </w:t>
      </w:r>
      <w:r w:rsidR="00046731" w:rsidRPr="00D70B93">
        <w:rPr>
          <w:rFonts w:ascii="IRBadr" w:hAnsi="IRBadr" w:cs="IRBadr"/>
          <w:sz w:val="28"/>
          <w:szCs w:val="28"/>
          <w:rtl/>
          <w:lang w:bidi="fa-IR"/>
        </w:rPr>
        <w:t xml:space="preserve">رمی او 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صادق است و قذف می‌شود. اما در </w:t>
      </w:r>
      <w:r w:rsidR="00046731" w:rsidRPr="00D70B93">
        <w:rPr>
          <w:rFonts w:ascii="IRBadr" w:hAnsi="IRBadr" w:cs="IRBadr"/>
          <w:sz w:val="28"/>
          <w:szCs w:val="28"/>
          <w:rtl/>
          <w:lang w:bidi="fa-IR"/>
        </w:rPr>
        <w:t xml:space="preserve">حالتی که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هم دلالت دارد، او را قصد کرده</w:t>
      </w:r>
      <w:r w:rsidR="00046731" w:rsidRPr="00D70B93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منتها نمی‌داند این لغت این معنا را می‌رساند یا </w:t>
      </w:r>
      <w:r w:rsidR="00046731" w:rsidRPr="00D70B93">
        <w:rPr>
          <w:rFonts w:ascii="IRBadr" w:hAnsi="IRBadr" w:cs="IRBadr"/>
          <w:sz w:val="28"/>
          <w:szCs w:val="28"/>
          <w:rtl/>
          <w:lang w:bidi="fa-IR"/>
        </w:rPr>
        <w:t>خیر؟</w:t>
      </w:r>
    </w:p>
    <w:p w:rsidR="00046731" w:rsidRPr="00D70B93" w:rsidRDefault="00046731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این محل بحث است.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معمولاً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در کلمات فقها تفکیکی به این نحو مشاهده 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>.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باید بگوییم اینجا چون امر احتمالی است. و محرز نیست، گناهی نکرده و رمی از او محقق نشده است.</w:t>
      </w:r>
    </w:p>
    <w:p w:rsidR="00046731" w:rsidRPr="00D70B93" w:rsidRDefault="00046731" w:rsidP="007D28D6">
      <w:pPr>
        <w:pStyle w:val="Heading2"/>
        <w:rPr>
          <w:rFonts w:ascii="IRBadr" w:hAnsi="IRBadr" w:cs="IRBadr"/>
          <w:rtl/>
        </w:rPr>
      </w:pPr>
      <w:bookmarkStart w:id="13" w:name="_Toc426276870"/>
      <w:r w:rsidRPr="00D70B93">
        <w:rPr>
          <w:rFonts w:ascii="IRBadr" w:hAnsi="IRBadr" w:cs="IRBadr"/>
          <w:rtl/>
        </w:rPr>
        <w:t>تشخیص قصد</w:t>
      </w:r>
      <w:bookmarkEnd w:id="13"/>
    </w:p>
    <w:p w:rsidR="00046731" w:rsidRPr="00D70B93" w:rsidRDefault="00046731" w:rsidP="007D28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تبصره‌ای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که باید بدان توجه ویژه داشت،</w:t>
      </w:r>
      <w:r w:rsidR="007D28D6" w:rsidRPr="00D70B93">
        <w:rPr>
          <w:rFonts w:ascii="IRBadr" w:hAnsi="IRBadr" w:cs="IRBadr"/>
          <w:sz w:val="28"/>
          <w:szCs w:val="28"/>
          <w:rtl/>
          <w:lang w:bidi="fa-IR"/>
        </w:rPr>
        <w:t xml:space="preserve"> تشخیص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قصد فرد است که در نوبه خود کاری دشوار است و باید قرائن محکمی </w:t>
      </w:r>
      <w:r w:rsidR="00D70B93">
        <w:rPr>
          <w:rFonts w:ascii="IRBadr" w:hAnsi="IRBadr" w:cs="IRBadr"/>
          <w:sz w:val="28"/>
          <w:szCs w:val="28"/>
          <w:rtl/>
          <w:lang w:bidi="fa-IR"/>
        </w:rPr>
        <w:t>دست‌به‌دست</w:t>
      </w:r>
      <w:r w:rsidRPr="00D70B93">
        <w:rPr>
          <w:rFonts w:ascii="IRBadr" w:hAnsi="IRBadr" w:cs="IRBadr"/>
          <w:sz w:val="28"/>
          <w:szCs w:val="28"/>
          <w:rtl/>
          <w:lang w:bidi="fa-IR"/>
        </w:rPr>
        <w:t xml:space="preserve"> هم بدهد تا بتوان به قصد فرد پی برد.</w:t>
      </w:r>
    </w:p>
    <w:p w:rsidR="00152670" w:rsidRPr="00D70B93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D70B93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96" w:rsidRDefault="00700696" w:rsidP="000D5800">
      <w:pPr>
        <w:spacing w:after="0" w:line="240" w:lineRule="auto"/>
      </w:pPr>
      <w:r>
        <w:separator/>
      </w:r>
    </w:p>
  </w:endnote>
  <w:endnote w:type="continuationSeparator" w:id="0">
    <w:p w:rsidR="00700696" w:rsidRDefault="0070069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96" w:rsidRDefault="00700696" w:rsidP="000D5800">
      <w:pPr>
        <w:spacing w:after="0" w:line="240" w:lineRule="auto"/>
      </w:pPr>
      <w:r>
        <w:separator/>
      </w:r>
    </w:p>
  </w:footnote>
  <w:footnote w:type="continuationSeparator" w:id="0">
    <w:p w:rsidR="00700696" w:rsidRDefault="00700696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ED367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B3B2220" wp14:editId="06991B0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CC896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3AAF1A50" wp14:editId="6A91341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7D28D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D367F">
      <w:rPr>
        <w:rFonts w:ascii="IranNastaliq" w:hAnsi="IranNastaliq" w:cs="IranNastaliq" w:hint="cs"/>
        <w:sz w:val="40"/>
        <w:szCs w:val="40"/>
        <w:rtl/>
      </w:rPr>
      <w:t>790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F"/>
    <w:rsid w:val="000228A2"/>
    <w:rsid w:val="000324F1"/>
    <w:rsid w:val="00041FE0"/>
    <w:rsid w:val="0004673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5E4C"/>
    <w:rsid w:val="0013617D"/>
    <w:rsid w:val="00136442"/>
    <w:rsid w:val="00150662"/>
    <w:rsid w:val="00150D4B"/>
    <w:rsid w:val="00152670"/>
    <w:rsid w:val="00166DD8"/>
    <w:rsid w:val="001712D6"/>
    <w:rsid w:val="001757C8"/>
    <w:rsid w:val="00177934"/>
    <w:rsid w:val="001849FA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5360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0B91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B6871"/>
    <w:rsid w:val="004C231F"/>
    <w:rsid w:val="004F3596"/>
    <w:rsid w:val="00572E2D"/>
    <w:rsid w:val="00592103"/>
    <w:rsid w:val="005941DD"/>
    <w:rsid w:val="005A545E"/>
    <w:rsid w:val="005A5862"/>
    <w:rsid w:val="005B0852"/>
    <w:rsid w:val="005C06AE"/>
    <w:rsid w:val="005E609C"/>
    <w:rsid w:val="00610C18"/>
    <w:rsid w:val="00612385"/>
    <w:rsid w:val="0061376C"/>
    <w:rsid w:val="00636EFA"/>
    <w:rsid w:val="0066229C"/>
    <w:rsid w:val="006855A3"/>
    <w:rsid w:val="0069696C"/>
    <w:rsid w:val="006A085A"/>
    <w:rsid w:val="006C42F1"/>
    <w:rsid w:val="006D3A87"/>
    <w:rsid w:val="006F01B4"/>
    <w:rsid w:val="00700696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0922"/>
    <w:rsid w:val="007C1EF7"/>
    <w:rsid w:val="007C710E"/>
    <w:rsid w:val="007D0B88"/>
    <w:rsid w:val="007D1549"/>
    <w:rsid w:val="007D28D6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227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A417D"/>
    <w:rsid w:val="009B46BC"/>
    <w:rsid w:val="009B61C3"/>
    <w:rsid w:val="009C7B4F"/>
    <w:rsid w:val="009E1BEC"/>
    <w:rsid w:val="009F4EB3"/>
    <w:rsid w:val="00A06D48"/>
    <w:rsid w:val="00A21834"/>
    <w:rsid w:val="00A31C17"/>
    <w:rsid w:val="00A31FDE"/>
    <w:rsid w:val="00A35AC2"/>
    <w:rsid w:val="00A37C77"/>
    <w:rsid w:val="00A5418D"/>
    <w:rsid w:val="00A627EC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53E4B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37D9"/>
    <w:rsid w:val="00CE31E6"/>
    <w:rsid w:val="00CE3B74"/>
    <w:rsid w:val="00CF42E2"/>
    <w:rsid w:val="00CF7916"/>
    <w:rsid w:val="00D158F3"/>
    <w:rsid w:val="00D2336D"/>
    <w:rsid w:val="00D269EC"/>
    <w:rsid w:val="00D3665C"/>
    <w:rsid w:val="00D508CC"/>
    <w:rsid w:val="00D50F4B"/>
    <w:rsid w:val="00D60547"/>
    <w:rsid w:val="00D66444"/>
    <w:rsid w:val="00D70B93"/>
    <w:rsid w:val="00D76353"/>
    <w:rsid w:val="00D8541D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367F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D36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D36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EF43-A559-4652-B898-17F9A698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177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12</cp:revision>
  <dcterms:created xsi:type="dcterms:W3CDTF">2014-12-20T10:23:00Z</dcterms:created>
  <dcterms:modified xsi:type="dcterms:W3CDTF">2015-07-25T20:39:00Z</dcterms:modified>
</cp:coreProperties>
</file>