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84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B58A6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9F075B" w:rsidRPr="00DB58A6" w:rsidRDefault="009F075B" w:rsidP="009F07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DB58A6">
        <w:rPr>
          <w:rFonts w:ascii="IRBadr" w:hAnsi="IRBadr" w:cs="IRBadr"/>
          <w:sz w:val="28"/>
          <w:rtl/>
        </w:rPr>
        <w:fldChar w:fldCharType="begin"/>
      </w:r>
      <w:r w:rsidRPr="00DB58A6">
        <w:rPr>
          <w:rFonts w:ascii="IRBadr" w:hAnsi="IRBadr" w:cs="IRBadr"/>
          <w:sz w:val="28"/>
          <w:rtl/>
        </w:rPr>
        <w:instrText xml:space="preserve"> </w:instrText>
      </w:r>
      <w:r w:rsidRPr="00DB58A6">
        <w:rPr>
          <w:rFonts w:ascii="IRBadr" w:hAnsi="IRBadr" w:cs="IRBadr"/>
          <w:sz w:val="28"/>
        </w:rPr>
        <w:instrText>TOC</w:instrText>
      </w:r>
      <w:r w:rsidRPr="00DB58A6">
        <w:rPr>
          <w:rFonts w:ascii="IRBadr" w:hAnsi="IRBadr" w:cs="IRBadr"/>
          <w:sz w:val="28"/>
          <w:rtl/>
        </w:rPr>
        <w:instrText xml:space="preserve"> \</w:instrText>
      </w:r>
      <w:r w:rsidRPr="00DB58A6">
        <w:rPr>
          <w:rFonts w:ascii="IRBadr" w:hAnsi="IRBadr" w:cs="IRBadr"/>
          <w:sz w:val="28"/>
        </w:rPr>
        <w:instrText>o "</w:instrText>
      </w:r>
      <w:r w:rsidRPr="00DB58A6">
        <w:rPr>
          <w:rFonts w:ascii="IRBadr" w:hAnsi="IRBadr" w:cs="IRBadr"/>
          <w:sz w:val="28"/>
          <w:rtl/>
        </w:rPr>
        <w:instrText>1-3</w:instrText>
      </w:r>
      <w:r w:rsidRPr="00DB58A6">
        <w:rPr>
          <w:rFonts w:ascii="IRBadr" w:hAnsi="IRBadr" w:cs="IRBadr"/>
          <w:sz w:val="28"/>
        </w:rPr>
        <w:instrText>" \h \z \u</w:instrText>
      </w:r>
      <w:r w:rsidRPr="00DB58A6">
        <w:rPr>
          <w:rFonts w:ascii="IRBadr" w:hAnsi="IRBadr" w:cs="IRBadr"/>
          <w:sz w:val="28"/>
          <w:rtl/>
        </w:rPr>
        <w:instrText xml:space="preserve"> </w:instrText>
      </w:r>
      <w:r w:rsidRPr="00DB58A6">
        <w:rPr>
          <w:rFonts w:ascii="IRBadr" w:hAnsi="IRBadr" w:cs="IRBadr"/>
          <w:sz w:val="28"/>
          <w:rtl/>
        </w:rPr>
        <w:fldChar w:fldCharType="separate"/>
      </w:r>
      <w:hyperlink w:anchor="_Toc426276605" w:history="1">
        <w:r w:rsidRPr="00DB58A6">
          <w:rPr>
            <w:rStyle w:val="Hyperlink"/>
            <w:rFonts w:ascii="IRBadr" w:hAnsi="IRBadr" w:cs="IRBadr"/>
            <w:noProof/>
            <w:rtl/>
          </w:rPr>
          <w:t>روایات باب سب</w:t>
        </w:r>
        <w:r w:rsidRPr="00DB58A6">
          <w:rPr>
            <w:rFonts w:ascii="IRBadr" w:hAnsi="IRBadr" w:cs="IRBadr"/>
            <w:noProof/>
            <w:webHidden/>
          </w:rPr>
          <w:tab/>
        </w:r>
        <w:r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DB58A6">
          <w:rPr>
            <w:rFonts w:ascii="IRBadr" w:hAnsi="IRBadr" w:cs="IRBadr"/>
            <w:noProof/>
            <w:webHidden/>
          </w:rPr>
          <w:instrText xml:space="preserve"> PAGEREF _Toc426276605 \h </w:instrText>
        </w:r>
        <w:r w:rsidRPr="00DB58A6">
          <w:rPr>
            <w:rStyle w:val="Hyperlink"/>
            <w:rFonts w:ascii="IRBadr" w:hAnsi="IRBadr" w:cs="IRBadr"/>
            <w:noProof/>
            <w:rtl/>
          </w:rPr>
        </w:r>
        <w:r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DB58A6">
          <w:rPr>
            <w:rFonts w:ascii="IRBadr" w:hAnsi="IRBadr" w:cs="IRBadr"/>
            <w:noProof/>
            <w:webHidden/>
          </w:rPr>
          <w:t>1</w:t>
        </w:r>
        <w:r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06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_Toc426276606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1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07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مرور دو قاعده در این باب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_Toc426276607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1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08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مرور بحث آستانه تحمل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_Toc426276608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2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09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ریشه بحث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_Toc426276609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2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0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شاخصیت ملاک عرفی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_Toc426276610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2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1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وجه سوم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_Toc426276611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3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2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جمع بندی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_Toc426276612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3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3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تطبیق بحث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_Toc426276613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3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4" w:history="1">
        <w:r w:rsidR="009F075B" w:rsidRPr="00DB58A6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_Toc426276614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3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871A9B" w:rsidP="009F075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15" w:history="1">
        <w:r w:rsidR="00EC63BB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9F075B" w:rsidRPr="00DB58A6">
          <w:rPr>
            <w:rFonts w:ascii="IRBadr" w:hAnsi="IRBadr" w:cs="IRBadr"/>
            <w:noProof/>
            <w:webHidden/>
          </w:rPr>
          <w:tab/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075B" w:rsidRPr="00DB58A6">
          <w:rPr>
            <w:rFonts w:ascii="IRBadr" w:hAnsi="IRBadr" w:cs="IRBadr"/>
            <w:noProof/>
            <w:webHidden/>
          </w:rPr>
          <w:instrText xml:space="preserve"> PAGEREF _Toc426276615 \h </w:instrText>
        </w:r>
        <w:r w:rsidR="009F075B" w:rsidRPr="00DB58A6">
          <w:rPr>
            <w:rStyle w:val="Hyperlink"/>
            <w:rFonts w:ascii="IRBadr" w:hAnsi="IRBadr" w:cs="IRBadr"/>
            <w:noProof/>
            <w:rtl/>
          </w:rPr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075B" w:rsidRPr="00DB58A6">
          <w:rPr>
            <w:rFonts w:ascii="IRBadr" w:hAnsi="IRBadr" w:cs="IRBadr"/>
            <w:noProof/>
            <w:webHidden/>
          </w:rPr>
          <w:t>4</w:t>
        </w:r>
        <w:r w:rsidR="009F075B" w:rsidRPr="00DB58A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075B" w:rsidRPr="00DB58A6" w:rsidRDefault="009F075B" w:rsidP="009F07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27FD9" w:rsidRPr="00DB58A6" w:rsidRDefault="00127FD9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276605"/>
      <w:r w:rsidRPr="00DB58A6">
        <w:rPr>
          <w:rFonts w:ascii="IRBadr" w:hAnsi="IRBadr" w:cs="IRBadr"/>
          <w:rtl/>
        </w:rPr>
        <w:br w:type="page"/>
      </w:r>
    </w:p>
    <w:p w:rsidR="00ED5AB7" w:rsidRPr="00DB58A6" w:rsidRDefault="005C38AB" w:rsidP="007D2C55">
      <w:pPr>
        <w:pStyle w:val="Heading1"/>
        <w:rPr>
          <w:rFonts w:ascii="IRBadr" w:hAnsi="IRBadr" w:cs="IRBadr"/>
          <w:rtl/>
        </w:rPr>
      </w:pPr>
      <w:r w:rsidRPr="00DB58A6">
        <w:rPr>
          <w:rFonts w:ascii="IRBadr" w:hAnsi="IRBadr" w:cs="IRBadr"/>
          <w:rtl/>
        </w:rPr>
        <w:lastRenderedPageBreak/>
        <w:t>روایات باب سب</w:t>
      </w:r>
      <w:bookmarkEnd w:id="1"/>
    </w:p>
    <w:p w:rsidR="005C38AB" w:rsidRPr="00DB58A6" w:rsidRDefault="005C38AB" w:rsidP="007D2C55">
      <w:pPr>
        <w:pStyle w:val="Heading1"/>
        <w:rPr>
          <w:rFonts w:ascii="IRBadr" w:hAnsi="IRBadr" w:cs="IRBadr"/>
          <w:rtl/>
        </w:rPr>
      </w:pPr>
      <w:bookmarkStart w:id="2" w:name="_Toc426276606"/>
      <w:r w:rsidRPr="00DB58A6">
        <w:rPr>
          <w:rFonts w:ascii="IRBadr" w:hAnsi="IRBadr" w:cs="IRBadr"/>
          <w:rtl/>
        </w:rPr>
        <w:t>مرور بحث گذشته</w:t>
      </w:r>
      <w:bookmarkEnd w:id="2"/>
    </w:p>
    <w:p w:rsidR="005C38AB" w:rsidRPr="00DB58A6" w:rsidRDefault="005C38AB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بحث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سابق بیان شد که اگر دشنامی متوجه فرد شود و در غیر از محدوده زنا باشد،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اینجا سه طائفه روایات داریم که به حکم این فرض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پرداخته‌اند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دسته دوم و سوم بیان شد و مورد بحث و بررسی قرار گرفت.</w:t>
      </w:r>
    </w:p>
    <w:p w:rsidR="005C38AB" w:rsidRPr="00DB58A6" w:rsidRDefault="005C38AB" w:rsidP="007D2C55">
      <w:pPr>
        <w:pStyle w:val="Heading1"/>
        <w:rPr>
          <w:rFonts w:ascii="IRBadr" w:hAnsi="IRBadr" w:cs="IRBadr"/>
          <w:rtl/>
        </w:rPr>
      </w:pPr>
      <w:bookmarkStart w:id="3" w:name="_Toc426276607"/>
      <w:r w:rsidRPr="00DB58A6">
        <w:rPr>
          <w:rFonts w:ascii="IRBadr" w:hAnsi="IRBadr" w:cs="IRBadr"/>
          <w:rtl/>
        </w:rPr>
        <w:t>مرور دو قاعده در این باب</w:t>
      </w:r>
      <w:bookmarkEnd w:id="3"/>
    </w:p>
    <w:p w:rsidR="005C38AB" w:rsidRPr="00DB58A6" w:rsidRDefault="005C38AB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گفته شد که؛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>فقها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معمولاً قائل شدند به اینکه در س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ب و دشنام تعزیر وجود دارد. این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است که با قطع نظر از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اختلاف موجود تعزیر در مطلق معاصی،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ایذای مسلم طبق این ادله تعزیر وجود دارد.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جلسه پیشین دو قاعده نیز بیان شد و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به‌اجمال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به رابطه آن دو پرداخته شد.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میان قاعده دوم که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قاعده ایذای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مؤمن باشد از مقبولیت بیشتری برخوردار است.</w:t>
      </w:r>
    </w:p>
    <w:p w:rsidR="005C38AB" w:rsidRPr="00DB58A6" w:rsidRDefault="005C38AB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شاید بتوان گفت نسبت به طایفه دوم اجماعی وجود دارد ولی قاعده اولیه مورد اختلاف است،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مشخصاً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امثال آقای گلپایگانی یا آقای خوانساری روی آن شک دارند.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اصل این قاعده بحثی نیست که دارای مستندات متقن و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قابل‌اعتمادی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C38AB" w:rsidRPr="00DB58A6" w:rsidRDefault="005C38AB" w:rsidP="007D2C55">
      <w:pPr>
        <w:pStyle w:val="Heading1"/>
        <w:rPr>
          <w:rFonts w:ascii="IRBadr" w:hAnsi="IRBadr" w:cs="IRBadr"/>
          <w:rtl/>
        </w:rPr>
      </w:pPr>
      <w:bookmarkStart w:id="4" w:name="_Toc426276608"/>
      <w:r w:rsidRPr="00DB58A6">
        <w:rPr>
          <w:rFonts w:ascii="IRBadr" w:hAnsi="IRBadr" w:cs="IRBadr"/>
          <w:rtl/>
        </w:rPr>
        <w:t>مرور بحث آستانه تحمل</w:t>
      </w:r>
      <w:bookmarkEnd w:id="4"/>
    </w:p>
    <w:p w:rsidR="005373A5" w:rsidRPr="00DB58A6" w:rsidRDefault="005C38AB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از ج</w:t>
      </w:r>
      <w:r w:rsidR="00DB58A6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له نکاتی که ذیل این قاعده مطرح بود،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بوده؛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افرادی هستند که آستانه تحملشان از آن سطح عرفی متفاوت است. مثل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نقطه‌جوش</w:t>
      </w:r>
      <w:r w:rsidR="00DB58A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در مواد متفاوت است، ارواح جان‌ها و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روان‌های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انسان‌ها به لحاظ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نقطه‌جوششان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، آستانه تحملشان متفاوت است.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حد متعارفی وجود دارد که در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برخی موارد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افراد به صورت متعارف ناراحت می‌شوند.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دارد. اما اگر افرادی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بودند، این محل بحث بود. از دو طرف قضیه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افراد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پیدا شدند، یعنی کسی که با اندک چیزی ناراحت می‌شود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او بالعکس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یعنی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جاهایی که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فرد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به این سادگی از کوره در نمی‌رود.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هر دو طرف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محل بحث است که آیا ایذاء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در این دو موضع تعزیر دارد یا خیر؟</w:t>
      </w:r>
    </w:p>
    <w:p w:rsidR="005373A5" w:rsidRPr="00DB58A6" w:rsidRDefault="005373A5" w:rsidP="007D2C55">
      <w:pPr>
        <w:pStyle w:val="Heading2"/>
        <w:rPr>
          <w:rFonts w:ascii="IRBadr" w:hAnsi="IRBadr" w:cs="IRBadr"/>
          <w:rtl/>
        </w:rPr>
      </w:pPr>
      <w:bookmarkStart w:id="5" w:name="_Toc426276609"/>
      <w:r w:rsidRPr="00DB58A6">
        <w:rPr>
          <w:rFonts w:ascii="IRBadr" w:hAnsi="IRBadr" w:cs="IRBadr"/>
          <w:rtl/>
        </w:rPr>
        <w:t>ریشه بحث</w:t>
      </w:r>
      <w:bookmarkEnd w:id="5"/>
    </w:p>
    <w:p w:rsidR="005373A5" w:rsidRPr="00DB58A6" w:rsidRDefault="005373A5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گفتیم که در این بین باید دید در اینجا ایذای فعلی مراد است یا شاخص ایذای نوعی است؟</w:t>
      </w:r>
    </w:p>
    <w:p w:rsidR="005373A5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پس در واقع روح سؤال </w:t>
      </w:r>
      <w:r w:rsidR="00EC63BB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به سؤال </w:t>
      </w:r>
      <w:r w:rsidR="00EC63BB">
        <w:rPr>
          <w:rFonts w:ascii="IRBadr" w:hAnsi="IRBadr" w:cs="IRBadr"/>
          <w:sz w:val="28"/>
          <w:szCs w:val="28"/>
          <w:rtl/>
          <w:lang w:bidi="fa-IR"/>
        </w:rPr>
        <w:t>اصولی‌تری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ملاک در تعزیر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ایذاء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شخصی است یا ایذاء نوعی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؟ نظیر این موضوع در نقاط متعددی از فقه وجود دارد.</w:t>
      </w:r>
    </w:p>
    <w:p w:rsidR="005373A5" w:rsidRPr="00DB58A6" w:rsidRDefault="005373A5" w:rsidP="007D2C55">
      <w:pPr>
        <w:pStyle w:val="Heading2"/>
        <w:rPr>
          <w:rFonts w:ascii="IRBadr" w:hAnsi="IRBadr" w:cs="IRBadr"/>
          <w:rtl/>
        </w:rPr>
      </w:pPr>
      <w:bookmarkStart w:id="6" w:name="_Toc426276610"/>
      <w:r w:rsidRPr="00DB58A6">
        <w:rPr>
          <w:rFonts w:ascii="IRBadr" w:hAnsi="IRBadr" w:cs="IRBadr"/>
          <w:rtl/>
        </w:rPr>
        <w:t>شاخصیت ملاک عرفی</w:t>
      </w:r>
      <w:bookmarkEnd w:id="6"/>
    </w:p>
    <w:p w:rsidR="005373A5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جوابی که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اینجا داده شده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است که این خطابات القای به عرف می‌شود و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از خطابات،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موضوعات عرفی متفاهم است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و ملاک در این‌ها همان عرف عام است. و عرف عام هم در اینجا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است که ما یوذی المسلم یعنی آنچه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در میان معمول مردم و جامعه به عنوان ایذاء تلقی می‌شود. اما شرایط خاصی که یک فرد به صورت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دارد، آن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دیگر شامل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نمی‌شود.</w:t>
      </w:r>
    </w:p>
    <w:p w:rsidR="00B32E27" w:rsidRPr="00DB58A6" w:rsidRDefault="00EC63BB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اشاره شد، در ایذای مسلم دو دلیل داریم. 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برخی ادله ایذاء را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تکلیفاً تحریم کرده است.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 xml:space="preserve"> روایات آن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کتاب العشره در باب </w:t>
      </w:r>
      <w:r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جلد یازدهم آمده است که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؛ ایذاء،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اهانت</w:t>
      </w:r>
      <w:r w:rsidR="005373A5" w:rsidRPr="00DB58A6">
        <w:rPr>
          <w:rFonts w:ascii="IRBadr" w:hAnsi="IRBadr" w:cs="IRBadr"/>
          <w:sz w:val="28"/>
          <w:szCs w:val="28"/>
          <w:rtl/>
          <w:lang w:bidi="fa-IR"/>
        </w:rPr>
        <w:t>، تحقیر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استهزاء 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 xml:space="preserve">او 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>حرام است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یک دسته روایات 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وجود دارد که قائل است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علاوه بر اینکه حرام است، تعزیر هم دارد. در هر دو مورد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؛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چه حرمت ایذاء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ترتب تعزیر بر ایذاء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451784" w:rsidRPr="00DB58A6">
        <w:rPr>
          <w:rFonts w:ascii="IRBadr" w:hAnsi="IRBadr" w:cs="IRBadr"/>
          <w:sz w:val="28"/>
          <w:szCs w:val="28"/>
          <w:rtl/>
          <w:lang w:bidi="fa-IR"/>
        </w:rPr>
        <w:t xml:space="preserve"> قاعدتاً منظور همان چیزی است که عرفاً موجب ایذاء است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32E27" w:rsidRPr="00DB58A6" w:rsidRDefault="00B32E27" w:rsidP="007D2C55">
      <w:pPr>
        <w:pStyle w:val="Heading2"/>
        <w:rPr>
          <w:rFonts w:ascii="IRBadr" w:hAnsi="IRBadr" w:cs="IRBadr"/>
          <w:rtl/>
        </w:rPr>
      </w:pPr>
      <w:bookmarkStart w:id="7" w:name="_Toc426276611"/>
      <w:r w:rsidRPr="00DB58A6">
        <w:rPr>
          <w:rFonts w:ascii="IRBadr" w:hAnsi="IRBadr" w:cs="IRBadr"/>
          <w:rtl/>
        </w:rPr>
        <w:t>وجه سوم</w:t>
      </w:r>
      <w:bookmarkEnd w:id="7"/>
    </w:p>
    <w:p w:rsidR="00B32E27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2E27" w:rsidRPr="00DB58A6">
        <w:rPr>
          <w:rFonts w:ascii="IRBadr" w:hAnsi="IRBadr" w:cs="IRBadr"/>
          <w:sz w:val="28"/>
          <w:szCs w:val="28"/>
          <w:rtl/>
          <w:lang w:bidi="fa-IR"/>
        </w:rPr>
        <w:t>وجه سومی نیز در اینجا وجود دارد که؛ ملاک ایذاء نوعی است.</w:t>
      </w:r>
    </w:p>
    <w:p w:rsidR="00B32E27" w:rsidRPr="00DB58A6" w:rsidRDefault="00B32E27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وجه دوم در موردی بود که فرد به خطر حساسیت بالا مورد ایذاء قرار گرفته است،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تعزیری محقق نخواهد شد.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وجه سوم ناظر به هر دو جنبه از موارد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مورد رنجش سریع و چه در موردی که برای فرد در موارد متعارف نیز رنجشی حاصل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هر دو گفته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وجود ندارد چراکه هر دو </w:t>
      </w:r>
      <w:r w:rsidR="00DB58A6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هستند.</w:t>
      </w:r>
    </w:p>
    <w:p w:rsidR="001F20FD" w:rsidRPr="00DB58A6" w:rsidRDefault="001F20FD" w:rsidP="007D2C55">
      <w:pPr>
        <w:pStyle w:val="Heading2"/>
        <w:rPr>
          <w:rFonts w:ascii="IRBadr" w:hAnsi="IRBadr" w:cs="IRBadr"/>
          <w:rtl/>
        </w:rPr>
      </w:pPr>
      <w:bookmarkStart w:id="8" w:name="_Toc426276612"/>
      <w:r w:rsidRPr="00DB58A6">
        <w:rPr>
          <w:rFonts w:ascii="IRBadr" w:hAnsi="IRBadr" w:cs="IRBadr"/>
          <w:rtl/>
        </w:rPr>
        <w:t>جمع بندی</w:t>
      </w:r>
      <w:bookmarkEnd w:id="8"/>
    </w:p>
    <w:p w:rsidR="00B32E27" w:rsidRPr="00DB58A6" w:rsidRDefault="001F20FD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در قبال این راه،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تأملی وجود دارد و در کنار این،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سومی وجود دارد که بدان متعرض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نشده‌اند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گفته شود؛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قبال فرد </w:t>
      </w:r>
      <w:r w:rsidR="00EC63BB">
        <w:rPr>
          <w:rFonts w:ascii="IRBadr" w:hAnsi="IRBadr" w:cs="IRBadr"/>
          <w:sz w:val="28"/>
          <w:szCs w:val="28"/>
          <w:rtl/>
          <w:lang w:bidi="fa-IR"/>
        </w:rPr>
        <w:t>زودرنج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تعزیر وجود ندارد.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میان نیز اگر ملاک را نوعی قرار دهیم،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قسم اول </w:t>
      </w:r>
      <w:r w:rsidR="00EC63BB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قسم دوم تعزیر وجود ندارد.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حقیقت آنچه که موجب تعزیر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شأنیت ناراحتی است که در آن فرد عرفا و بالفعل حاصل گردد.</w:t>
      </w:r>
    </w:p>
    <w:p w:rsidR="00601621" w:rsidRPr="00DB58A6" w:rsidRDefault="00601621" w:rsidP="007D2C55">
      <w:pPr>
        <w:pStyle w:val="Heading2"/>
        <w:rPr>
          <w:rFonts w:ascii="IRBadr" w:hAnsi="IRBadr" w:cs="IRBadr"/>
          <w:rtl/>
        </w:rPr>
      </w:pPr>
      <w:bookmarkStart w:id="9" w:name="_Toc426276613"/>
      <w:r w:rsidRPr="00DB58A6">
        <w:rPr>
          <w:rFonts w:ascii="IRBadr" w:hAnsi="IRBadr" w:cs="IRBadr"/>
          <w:rtl/>
        </w:rPr>
        <w:lastRenderedPageBreak/>
        <w:t>تطبیق بحث</w:t>
      </w:r>
      <w:bookmarkEnd w:id="9"/>
    </w:p>
    <w:p w:rsidR="00601621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آنچه </w:t>
      </w:r>
      <w:r w:rsidR="001F20FD" w:rsidRPr="00DB58A6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در کلمات آقای گلپایگانی و خوانساری و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20FD" w:rsidRPr="00DB58A6">
        <w:rPr>
          <w:rFonts w:ascii="IRBadr" w:hAnsi="IRBadr" w:cs="IRBadr"/>
          <w:sz w:val="28"/>
          <w:szCs w:val="28"/>
          <w:rtl/>
          <w:lang w:bidi="fa-IR"/>
        </w:rPr>
        <w:t xml:space="preserve">صاحب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جواهر آمده</w:t>
      </w:r>
      <w:r w:rsidR="001F20FD" w:rsidRPr="00DB58A6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تردد بین این دو احتمال است. بنابر احتمال اول، صورت اول تعزیر دارد</w:t>
      </w:r>
      <w:r w:rsidR="001F20FD" w:rsidRPr="00DB58A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حرام است</w:t>
      </w:r>
      <w:r w:rsidR="001F20FD"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دوم تعزیر ن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>داشته اما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بنابر احتمال دوم به عکس می‌شود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 و باید در آن تعزیر اجرا شود،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چون عرفاً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مردم در آن حالت ناراحت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صورت اول تعزیر ندارد. احتمال سومی که وجود دارد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این است که بگوییم ملاک جمع این دو است. آن چیزی که عرفاً موجب ناراحتی می‌شود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حاصل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و در مورد هم فعلیت پیدا کرده است،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 به همین خاطر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موجب تعزیر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شده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و حرام است.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این دو ملاک باید جمع بشود. اولاً عرفاً موجب ناراحتی این شخص بشود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بنابراین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قسم اول تعزیر نمی‌شود. ثانیاً باید </w:t>
      </w:r>
      <w:r w:rsidR="00601621" w:rsidRPr="00DB58A6">
        <w:rPr>
          <w:rFonts w:ascii="IRBadr" w:hAnsi="IRBadr" w:cs="IRBadr"/>
          <w:sz w:val="28"/>
          <w:szCs w:val="28"/>
          <w:rtl/>
          <w:lang w:bidi="fa-IR"/>
        </w:rPr>
        <w:t xml:space="preserve">در مورد هم فعلیت پیدا 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کند. چون ظاهر ایذاء ایذاء شأنی نیست، ایذاء فعلی است. یعنی باید همین الان این شخص ناراحت بشود.</w:t>
      </w:r>
    </w:p>
    <w:p w:rsidR="00601621" w:rsidRPr="00DB58A6" w:rsidRDefault="00601621" w:rsidP="007D2C55">
      <w:pPr>
        <w:pStyle w:val="Heading2"/>
        <w:rPr>
          <w:rFonts w:ascii="IRBadr" w:hAnsi="IRBadr" w:cs="IRBadr"/>
          <w:rtl/>
        </w:rPr>
      </w:pPr>
      <w:bookmarkStart w:id="10" w:name="_Toc426276614"/>
      <w:r w:rsidRPr="00DB58A6">
        <w:rPr>
          <w:rFonts w:ascii="IRBadr" w:hAnsi="IRBadr" w:cs="IRBadr"/>
          <w:rtl/>
        </w:rPr>
        <w:t>اتخاذ مبنا</w:t>
      </w:r>
      <w:bookmarkEnd w:id="10"/>
    </w:p>
    <w:p w:rsidR="00601621" w:rsidRPr="00DB58A6" w:rsidRDefault="00601621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آنچه که بیشتر به ذهن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بوده که این احتمال سوم صحیح است،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آنچه که شأنا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موجب ناراحتی فرد بشود و بعید نیست که ظاهر خطاب نیز این امر باشد.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شاید</w:t>
      </w:r>
      <w:r w:rsidR="00B17EFE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برخی موارد بتوان نهی از منکر امری را ثابت کرد اما تعزیر غیر از نهی از منکر است.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B17EFE" w:rsidRPr="00DB58A6">
        <w:rPr>
          <w:rFonts w:ascii="IRBadr" w:hAnsi="IRBadr" w:cs="IRBadr"/>
          <w:sz w:val="28"/>
          <w:szCs w:val="28"/>
          <w:rtl/>
          <w:lang w:bidi="fa-IR"/>
        </w:rPr>
        <w:t xml:space="preserve"> از علل موجود در تعزیر حفظ انتظام جامعه است.</w:t>
      </w:r>
    </w:p>
    <w:p w:rsidR="00B17EFE" w:rsidRPr="00DB58A6" w:rsidRDefault="00B17EFE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کسی قول سوم را مطرح ننموده،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اگر آن را اخذ نکنیم،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قول دوم را پذیرفت که مشهور بیشتر به آن سوق دارند.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دیروز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نیز اشاره شد که در اینجا مطلق ایذاء مراد نبوده بلکه مراد درجات بالا و خاص آن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که دیروز نقل شد،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در مطلق ایذاء داشت،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ظاهر اولیه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بود،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 xml:space="preserve"> سؤالی که وجود دارد این است که این ظاهر تا پایان نیز حفظ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58A6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A547DD" w:rsidRPr="00DB58A6" w:rsidRDefault="00EC63BB" w:rsidP="007D2C55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A547DD" w:rsidRPr="00DB58A6" w:rsidRDefault="00451784" w:rsidP="007D2C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58A6">
        <w:rPr>
          <w:rFonts w:ascii="IRBadr" w:hAnsi="IRBadr" w:cs="IRBadr"/>
          <w:sz w:val="28"/>
          <w:szCs w:val="28"/>
          <w:rtl/>
          <w:lang w:bidi="fa-IR"/>
        </w:rPr>
        <w:t>گرچه ظاهر کلام به صورت اولی همان اطلاق است، اما حقیق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ت مسئله این است که خیلی از اوقات مراتبی از آن به عنوان شوخی در میان دوستان مطرح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لذا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حکم به اطلاق آن داد و از ج</w:t>
      </w:r>
      <w:r w:rsidR="00EC63BB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له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ایذاءهای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متعارفی است که در </w:t>
      </w:r>
      <w:r w:rsidR="00EC63BB">
        <w:rPr>
          <w:rFonts w:ascii="IRBadr" w:hAnsi="IRBadr" w:cs="IRBadr"/>
          <w:sz w:val="28"/>
          <w:szCs w:val="28"/>
          <w:rtl/>
          <w:lang w:bidi="fa-IR"/>
        </w:rPr>
        <w:t>شبانه‌روز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این ظاهر اولیه به موارد اعلای آن انصراف پیدا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>.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موارد شک نیز تکلیف مشخص بوده و </w:t>
      </w:r>
      <w:r w:rsidR="007D2C55" w:rsidRPr="00DB58A6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A547DD" w:rsidRPr="00DB58A6">
        <w:rPr>
          <w:rFonts w:ascii="IRBadr" w:hAnsi="IRBadr" w:cs="IRBadr"/>
          <w:sz w:val="28"/>
          <w:szCs w:val="28"/>
          <w:rtl/>
          <w:lang w:bidi="fa-IR"/>
        </w:rPr>
        <w:t xml:space="preserve"> تعزیر را انجام داد.</w:t>
      </w:r>
    </w:p>
    <w:bookmarkEnd w:id="0"/>
    <w:p w:rsidR="00152670" w:rsidRPr="00DB58A6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B58A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9B" w:rsidRDefault="00871A9B" w:rsidP="000D5800">
      <w:pPr>
        <w:spacing w:after="0" w:line="240" w:lineRule="auto"/>
      </w:pPr>
      <w:r>
        <w:separator/>
      </w:r>
    </w:p>
  </w:endnote>
  <w:endnote w:type="continuationSeparator" w:id="0">
    <w:p w:rsidR="00871A9B" w:rsidRDefault="00871A9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9B" w:rsidRDefault="00871A9B" w:rsidP="000D5800">
      <w:pPr>
        <w:spacing w:after="0" w:line="240" w:lineRule="auto"/>
      </w:pPr>
      <w:r>
        <w:separator/>
      </w:r>
    </w:p>
  </w:footnote>
  <w:footnote w:type="continuationSeparator" w:id="0">
    <w:p w:rsidR="00871A9B" w:rsidRDefault="00871A9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5178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DB3EDBE" wp14:editId="2AB4833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10A8F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6A1BA6AE" wp14:editId="41D6542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7D2C5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51784">
      <w:rPr>
        <w:rFonts w:ascii="IranNastaliq" w:hAnsi="IranNastaliq" w:cs="IranNastaliq" w:hint="cs"/>
        <w:sz w:val="40"/>
        <w:szCs w:val="40"/>
        <w:rtl/>
      </w:rPr>
      <w:t>798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84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27FD9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0FD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51784"/>
    <w:rsid w:val="004651D2"/>
    <w:rsid w:val="00465D26"/>
    <w:rsid w:val="004679F8"/>
    <w:rsid w:val="004B337F"/>
    <w:rsid w:val="004F3596"/>
    <w:rsid w:val="005373A5"/>
    <w:rsid w:val="00572E2D"/>
    <w:rsid w:val="00592103"/>
    <w:rsid w:val="005941DD"/>
    <w:rsid w:val="005A545E"/>
    <w:rsid w:val="005A5862"/>
    <w:rsid w:val="005B0852"/>
    <w:rsid w:val="005C06AE"/>
    <w:rsid w:val="005C38AB"/>
    <w:rsid w:val="00601621"/>
    <w:rsid w:val="00610C18"/>
    <w:rsid w:val="00612385"/>
    <w:rsid w:val="0061376C"/>
    <w:rsid w:val="0063017B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612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2C55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1A9B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075B"/>
    <w:rsid w:val="009F4EB3"/>
    <w:rsid w:val="00A06D48"/>
    <w:rsid w:val="00A21834"/>
    <w:rsid w:val="00A31C17"/>
    <w:rsid w:val="00A31FDE"/>
    <w:rsid w:val="00A35AC2"/>
    <w:rsid w:val="00A37C77"/>
    <w:rsid w:val="00A5418D"/>
    <w:rsid w:val="00A547DD"/>
    <w:rsid w:val="00A725C2"/>
    <w:rsid w:val="00A769EE"/>
    <w:rsid w:val="00A810A5"/>
    <w:rsid w:val="00A9616A"/>
    <w:rsid w:val="00A96F68"/>
    <w:rsid w:val="00AA1B1B"/>
    <w:rsid w:val="00AA2342"/>
    <w:rsid w:val="00AD0304"/>
    <w:rsid w:val="00AD27BE"/>
    <w:rsid w:val="00AF0F1A"/>
    <w:rsid w:val="00B15027"/>
    <w:rsid w:val="00B17EFE"/>
    <w:rsid w:val="00B21CF4"/>
    <w:rsid w:val="00B24300"/>
    <w:rsid w:val="00B32E27"/>
    <w:rsid w:val="00B54258"/>
    <w:rsid w:val="00B63F15"/>
    <w:rsid w:val="00B93FCD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58A6"/>
    <w:rsid w:val="00DC603F"/>
    <w:rsid w:val="00DD3C0D"/>
    <w:rsid w:val="00DD4864"/>
    <w:rsid w:val="00DD71A2"/>
    <w:rsid w:val="00DE1DC4"/>
    <w:rsid w:val="00E0639C"/>
    <w:rsid w:val="00E067E6"/>
    <w:rsid w:val="00E12531"/>
    <w:rsid w:val="00E13586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63BB"/>
    <w:rsid w:val="00ED5AB7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517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517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B73E-CFAB-48F4-83D6-B0510FF7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18</cp:revision>
  <dcterms:created xsi:type="dcterms:W3CDTF">2014-12-20T10:31:00Z</dcterms:created>
  <dcterms:modified xsi:type="dcterms:W3CDTF">2015-07-25T21:54:00Z</dcterms:modified>
</cp:coreProperties>
</file>