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D3F2D" w:rsidRPr="00803273" w:rsidTr="00E05157">
        <w:tc>
          <w:tcPr>
            <w:tcW w:w="4788" w:type="dxa"/>
          </w:tcPr>
          <w:p w:rsidR="00DD3F2D" w:rsidRPr="00803273" w:rsidRDefault="00DD3F2D" w:rsidP="007E3953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  <w:bookmarkStart w:id="0" w:name="_GoBack" w:colFirst="0" w:colLast="0"/>
          </w:p>
        </w:tc>
        <w:tc>
          <w:tcPr>
            <w:tcW w:w="4788" w:type="dxa"/>
          </w:tcPr>
          <w:p w:rsidR="00DD3F2D" w:rsidRPr="00803273" w:rsidRDefault="00DD3F2D" w:rsidP="007E3953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</w:p>
        </w:tc>
      </w:tr>
    </w:tbl>
    <w:bookmarkEnd w:id="0"/>
    <w:p w:rsidR="00DD3F2D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9155AE" w:rsidRPr="00803273" w:rsidRDefault="009155AE" w:rsidP="009155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9155AE" w:rsidRPr="00803273" w:rsidRDefault="009155AE" w:rsidP="009155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803273">
        <w:rPr>
          <w:rFonts w:ascii="IRBadr" w:hAnsi="IRBadr" w:cs="IRBadr"/>
          <w:sz w:val="28"/>
          <w:rtl/>
        </w:rPr>
        <w:fldChar w:fldCharType="begin"/>
      </w:r>
      <w:r w:rsidRPr="00803273">
        <w:rPr>
          <w:rFonts w:ascii="IRBadr" w:hAnsi="IRBadr" w:cs="IRBadr"/>
          <w:sz w:val="28"/>
          <w:rtl/>
        </w:rPr>
        <w:instrText xml:space="preserve"> </w:instrText>
      </w:r>
      <w:r w:rsidRPr="00803273">
        <w:rPr>
          <w:rFonts w:ascii="IRBadr" w:hAnsi="IRBadr" w:cs="IRBadr"/>
          <w:sz w:val="28"/>
        </w:rPr>
        <w:instrText>TOC</w:instrText>
      </w:r>
      <w:r w:rsidRPr="00803273">
        <w:rPr>
          <w:rFonts w:ascii="IRBadr" w:hAnsi="IRBadr" w:cs="IRBadr"/>
          <w:sz w:val="28"/>
          <w:rtl/>
        </w:rPr>
        <w:instrText xml:space="preserve"> \</w:instrText>
      </w:r>
      <w:r w:rsidRPr="00803273">
        <w:rPr>
          <w:rFonts w:ascii="IRBadr" w:hAnsi="IRBadr" w:cs="IRBadr"/>
          <w:sz w:val="28"/>
        </w:rPr>
        <w:instrText>o "</w:instrText>
      </w:r>
      <w:r w:rsidRPr="00803273">
        <w:rPr>
          <w:rFonts w:ascii="IRBadr" w:hAnsi="IRBadr" w:cs="IRBadr"/>
          <w:sz w:val="28"/>
          <w:rtl/>
        </w:rPr>
        <w:instrText>1-3</w:instrText>
      </w:r>
      <w:r w:rsidRPr="00803273">
        <w:rPr>
          <w:rFonts w:ascii="IRBadr" w:hAnsi="IRBadr" w:cs="IRBadr"/>
          <w:sz w:val="28"/>
        </w:rPr>
        <w:instrText>" \h \z \u</w:instrText>
      </w:r>
      <w:r w:rsidRPr="00803273">
        <w:rPr>
          <w:rFonts w:ascii="IRBadr" w:hAnsi="IRBadr" w:cs="IRBadr"/>
          <w:sz w:val="28"/>
          <w:rtl/>
        </w:rPr>
        <w:instrText xml:space="preserve"> </w:instrText>
      </w:r>
      <w:r w:rsidRPr="00803273">
        <w:rPr>
          <w:rFonts w:ascii="IRBadr" w:hAnsi="IRBadr" w:cs="IRBadr"/>
          <w:sz w:val="28"/>
          <w:rtl/>
        </w:rPr>
        <w:fldChar w:fldCharType="separate"/>
      </w:r>
      <w:hyperlink w:anchor="_Toc426361600" w:history="1">
        <w:r w:rsidRPr="00803273">
          <w:rPr>
            <w:rStyle w:val="Hyperlink"/>
            <w:rFonts w:ascii="IRBadr" w:hAnsi="IRBadr" w:cs="IRBadr"/>
            <w:noProof/>
            <w:rtl/>
          </w:rPr>
          <w:t>مسقطات قذف</w:t>
        </w:r>
        <w:r w:rsidRPr="00803273">
          <w:rPr>
            <w:rFonts w:ascii="IRBadr" w:hAnsi="IRBadr" w:cs="IRBadr"/>
            <w:noProof/>
            <w:webHidden/>
          </w:rPr>
          <w:tab/>
        </w:r>
        <w:r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803273">
          <w:rPr>
            <w:rFonts w:ascii="IRBadr" w:hAnsi="IRBadr" w:cs="IRBadr"/>
            <w:noProof/>
            <w:webHidden/>
          </w:rPr>
          <w:instrText xml:space="preserve"> PAGEREF _Toc426361600 \h </w:instrText>
        </w:r>
        <w:r w:rsidRPr="00803273">
          <w:rPr>
            <w:rStyle w:val="Hyperlink"/>
            <w:rFonts w:ascii="IRBadr" w:hAnsi="IRBadr" w:cs="IRBadr"/>
            <w:noProof/>
            <w:rtl/>
          </w:rPr>
        </w:r>
        <w:r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803273">
          <w:rPr>
            <w:rFonts w:ascii="IRBadr" w:hAnsi="IRBadr" w:cs="IRBadr"/>
            <w:noProof/>
            <w:webHidden/>
          </w:rPr>
          <w:t>1</w:t>
        </w:r>
        <w:r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01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دلیل سوم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_Toc426361601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2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02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مناقشات در دلیل فوق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_Toc426361602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2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03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مناقشه اول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_Toc426361603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2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04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مرسلات مرحوم صدوق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_Toc426361604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2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05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_Toc426361605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3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06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مناقشه دوم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_Toc426361606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3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07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_Toc426361607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3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08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فرض توبه در این باب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_Toc426361608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3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09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تشریح احتمالات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_Toc426361609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4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10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احتمال اول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_Toc426361610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4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11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احتمال دوم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_Toc426361611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4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12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مبنای دو احتمال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_Toc426361612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4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13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_Toc426361613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4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14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بررسی مسقط اقرار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_Toc426361614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5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15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_Toc426361615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5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616" w:history="1">
        <w:r w:rsidR="00803273">
          <w:rPr>
            <w:rStyle w:val="Hyperlink"/>
            <w:rFonts w:ascii="IRBadr" w:hAnsi="IRBadr" w:cs="IRBadr"/>
            <w:noProof/>
            <w:rtl/>
          </w:rPr>
          <w:t>جمع‌بندی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_Toc426361616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5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3D61A2" w:rsidP="009155AE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361617" w:history="1">
        <w:r w:rsidR="009155AE" w:rsidRPr="00803273">
          <w:rPr>
            <w:rStyle w:val="Hyperlink"/>
            <w:rFonts w:ascii="IRBadr" w:hAnsi="IRBadr" w:cs="IRBadr"/>
            <w:noProof/>
            <w:rtl/>
          </w:rPr>
          <w:t>اقسام قذف</w:t>
        </w:r>
        <w:r w:rsidR="009155AE" w:rsidRPr="00803273">
          <w:rPr>
            <w:rFonts w:ascii="IRBadr" w:hAnsi="IRBadr" w:cs="IRBadr"/>
            <w:noProof/>
            <w:webHidden/>
          </w:rPr>
          <w:tab/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55AE" w:rsidRPr="00803273">
          <w:rPr>
            <w:rFonts w:ascii="IRBadr" w:hAnsi="IRBadr" w:cs="IRBadr"/>
            <w:noProof/>
            <w:webHidden/>
          </w:rPr>
          <w:instrText xml:space="preserve"> PAGEREF _Toc426361617 \h </w:instrText>
        </w:r>
        <w:r w:rsidR="009155AE" w:rsidRPr="00803273">
          <w:rPr>
            <w:rStyle w:val="Hyperlink"/>
            <w:rFonts w:ascii="IRBadr" w:hAnsi="IRBadr" w:cs="IRBadr"/>
            <w:noProof/>
            <w:rtl/>
          </w:rPr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55AE" w:rsidRPr="00803273">
          <w:rPr>
            <w:rFonts w:ascii="IRBadr" w:hAnsi="IRBadr" w:cs="IRBadr"/>
            <w:noProof/>
            <w:webHidden/>
          </w:rPr>
          <w:t>5</w:t>
        </w:r>
        <w:r w:rsidR="009155AE" w:rsidRPr="0080327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55AE" w:rsidRPr="00803273" w:rsidRDefault="009155AE" w:rsidP="009155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03273" w:rsidRDefault="00803273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6361600"/>
      <w:r>
        <w:rPr>
          <w:rFonts w:ascii="IRBadr" w:hAnsi="IRBadr" w:cs="IRBadr"/>
          <w:rtl/>
        </w:rPr>
        <w:br w:type="page"/>
      </w:r>
    </w:p>
    <w:p w:rsidR="00495D29" w:rsidRPr="00803273" w:rsidRDefault="00FF4AE5" w:rsidP="007E3953">
      <w:pPr>
        <w:pStyle w:val="Heading1"/>
        <w:rPr>
          <w:rFonts w:ascii="IRBadr" w:hAnsi="IRBadr" w:cs="IRBadr"/>
          <w:rtl/>
        </w:rPr>
      </w:pPr>
      <w:r w:rsidRPr="00803273">
        <w:rPr>
          <w:rFonts w:ascii="IRBadr" w:hAnsi="IRBadr" w:cs="IRBadr"/>
          <w:rtl/>
        </w:rPr>
        <w:lastRenderedPageBreak/>
        <w:t>مسقطات قذف</w:t>
      </w:r>
      <w:bookmarkEnd w:id="1"/>
    </w:p>
    <w:p w:rsidR="00FF4AE5" w:rsidRPr="00803273" w:rsidRDefault="00FF4AE5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>بحث در مسقطات حد بود،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اولین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از مسقطات عبارت بود از اقرار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و تصدیق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مقذوف.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که در این جهت وجود داشت ذکر شد،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لازم است در اینجا به دلیل سومی نیز اشاره شود؛</w:t>
      </w:r>
    </w:p>
    <w:p w:rsidR="00FF4AE5" w:rsidRPr="00803273" w:rsidRDefault="00FF4AE5" w:rsidP="007E3953">
      <w:pPr>
        <w:pStyle w:val="Heading1"/>
        <w:rPr>
          <w:rFonts w:ascii="IRBadr" w:hAnsi="IRBadr" w:cs="IRBadr"/>
          <w:rtl/>
        </w:rPr>
      </w:pPr>
      <w:bookmarkStart w:id="2" w:name="_Toc426361601"/>
      <w:r w:rsidRPr="00803273">
        <w:rPr>
          <w:rFonts w:ascii="IRBadr" w:hAnsi="IRBadr" w:cs="IRBadr"/>
          <w:rtl/>
        </w:rPr>
        <w:t>دلیل سوم</w:t>
      </w:r>
      <w:bookmarkEnd w:id="2"/>
    </w:p>
    <w:p w:rsidR="00FF4AE5" w:rsidRPr="00803273" w:rsidRDefault="00FF4AE5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این دلیل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>از مرحوم صدوق در همین ابواب حد قذف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جلد هیجده، باب سیزده، حد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یث سوم، صفحه چهارصد و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چهل‌وهفت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ذکر شده است،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این روایت صحیحه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است؛</w:t>
      </w:r>
    </w:p>
    <w:p w:rsidR="007E3953" w:rsidRPr="00803273" w:rsidRDefault="007E3953" w:rsidP="007E3953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0327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سُئِلَ الصَّادِقُ ع عَنْ رَجُلٍ قَالَ لِامْرَأَةٍ یا زَانِیةُ فَقَالَتْ أَنْتَ أَزْنَی مِنِّی قَالَ عَلَیهَا الْحَدُّ فِیمَا قَذَفَتْهُ بِهِ وَ أَ</w:t>
      </w:r>
      <w:r w:rsidR="0080327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مَّا فِی إِقْرَارِهَا عَلَی نفس</w:t>
      </w:r>
      <w:r w:rsidRPr="0080327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ها فَلَا تُحَدُّ حَتَّی تُقِرَّ بِذَلِک عِنْدَ الْإِمَامِ أَرْبَعَ مَرَّاتٍ»</w:t>
      </w:r>
      <w:r w:rsidRPr="00803273">
        <w:rPr>
          <w:rFonts w:ascii="IRBadr" w:hAnsi="IRBadr" w:cs="IRBadr"/>
          <w:b/>
          <w:bCs/>
          <w:color w:val="000000" w:themeColor="text1"/>
          <w:sz w:val="28"/>
          <w:szCs w:val="28"/>
        </w:rPr>
        <w:t>‌</w:t>
      </w:r>
      <w:r w:rsidRPr="0080327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7E3953" w:rsidRPr="00803273" w:rsidRDefault="007E3953" w:rsidP="007E3953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FF4AE5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>مردی است که به زنش خطاب کرده یا زانیه</w:t>
      </w:r>
      <w:r w:rsidR="00FF4AE5"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بعد زن به او جواب می‌دهد که انت ازنی منی، تو از من زانی تر هستی. در مقام پاسخ امام جواب دادند، حد قذف بر این زن جاری می‌شود. </w:t>
      </w:r>
      <w:r w:rsidR="00FF4AE5" w:rsidRPr="00803273">
        <w:rPr>
          <w:rFonts w:ascii="IRBadr" w:hAnsi="IRBadr" w:cs="IRBadr"/>
          <w:sz w:val="28"/>
          <w:szCs w:val="28"/>
          <w:rtl/>
          <w:lang w:bidi="fa-IR"/>
        </w:rPr>
        <w:t xml:space="preserve">چراکه الاقرار به علی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نفس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>ها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حد قذف بر او جاری می‌شود، ولی حد زنا بر او جاری نمی‌شود. چون</w:t>
      </w:r>
      <w:r w:rsidR="00FF4AE5" w:rsidRPr="00803273">
        <w:rPr>
          <w:rFonts w:ascii="IRBadr" w:hAnsi="IRBadr" w:cs="IRBadr"/>
          <w:sz w:val="28"/>
          <w:szCs w:val="28"/>
          <w:rtl/>
          <w:lang w:bidi="fa-IR"/>
        </w:rPr>
        <w:t xml:space="preserve"> این اقرار باید چهار بار تکرار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شود.</w:t>
      </w:r>
      <w:r w:rsidR="00FF4AE5"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این هم دل</w:t>
      </w:r>
      <w:r w:rsidR="00FF4AE5" w:rsidRPr="00803273">
        <w:rPr>
          <w:rFonts w:ascii="IRBadr" w:hAnsi="IRBadr" w:cs="IRBadr"/>
          <w:sz w:val="28"/>
          <w:szCs w:val="28"/>
          <w:rtl/>
          <w:lang w:bidi="fa-IR"/>
        </w:rPr>
        <w:t xml:space="preserve">یل دومی است بر اینکه اگر اقرار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کند، حد قذف از طرف مقابل ساقط می‌شود.</w:t>
      </w:r>
    </w:p>
    <w:p w:rsidR="00FF4AE5" w:rsidRPr="00803273" w:rsidRDefault="00FF4AE5" w:rsidP="007E3953">
      <w:pPr>
        <w:pStyle w:val="Heading1"/>
        <w:rPr>
          <w:rFonts w:ascii="IRBadr" w:hAnsi="IRBadr" w:cs="IRBadr"/>
          <w:rtl/>
        </w:rPr>
      </w:pPr>
      <w:bookmarkStart w:id="3" w:name="_Toc426361602"/>
      <w:r w:rsidRPr="00803273">
        <w:rPr>
          <w:rFonts w:ascii="IRBadr" w:hAnsi="IRBadr" w:cs="IRBadr"/>
          <w:rtl/>
        </w:rPr>
        <w:t>مناقشات در دلیل فوق</w:t>
      </w:r>
      <w:bookmarkEnd w:id="3"/>
    </w:p>
    <w:p w:rsidR="00FF4AE5" w:rsidRPr="00803273" w:rsidRDefault="00FF4AE5" w:rsidP="007E3953">
      <w:pPr>
        <w:pStyle w:val="Heading1"/>
        <w:rPr>
          <w:rFonts w:ascii="IRBadr" w:hAnsi="IRBadr" w:cs="IRBadr"/>
          <w:rtl/>
        </w:rPr>
      </w:pPr>
      <w:bookmarkStart w:id="4" w:name="_Toc426361603"/>
      <w:r w:rsidRPr="00803273">
        <w:rPr>
          <w:rFonts w:ascii="IRBadr" w:hAnsi="IRBadr" w:cs="IRBadr"/>
          <w:rtl/>
        </w:rPr>
        <w:t>مناقشه اول</w:t>
      </w:r>
      <w:bookmarkEnd w:id="4"/>
    </w:p>
    <w:p w:rsidR="00833B3F" w:rsidRPr="00803273" w:rsidRDefault="00FF4AE5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>مناقشه اولی که نسبت به این اثر ذکر شده است،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بحث سندی حدیث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که مرسله است،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مرحوم صدوق می‌گوید،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قال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ع)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و این مرسله اعتباری ندارد. از نظر سندی اشکال دارد.</w:t>
      </w:r>
    </w:p>
    <w:p w:rsidR="00833B3F" w:rsidRPr="00803273" w:rsidRDefault="00833B3F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33B3F" w:rsidRPr="00803273" w:rsidRDefault="00833B3F" w:rsidP="007E3953">
      <w:pPr>
        <w:pStyle w:val="Heading1"/>
        <w:rPr>
          <w:rFonts w:ascii="IRBadr" w:hAnsi="IRBadr" w:cs="IRBadr"/>
          <w:rtl/>
        </w:rPr>
      </w:pPr>
      <w:bookmarkStart w:id="5" w:name="_Toc426361604"/>
      <w:r w:rsidRPr="00803273">
        <w:rPr>
          <w:rFonts w:ascii="IRBadr" w:hAnsi="IRBadr" w:cs="IRBadr"/>
          <w:rtl/>
        </w:rPr>
        <w:lastRenderedPageBreak/>
        <w:t>مرسلات مرحوم صدوق</w:t>
      </w:r>
      <w:bookmarkEnd w:id="5"/>
    </w:p>
    <w:p w:rsidR="00833B3F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الا </w:t>
      </w:r>
      <w:r w:rsidR="00FF4AE5" w:rsidRPr="00803273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مبنای کسانی که مرسلات صدوق را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می‌پذیرند، به یک مبنا یا بر اساس مبنای کسانی که تفصیل قائل‌اند و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مرسلاتی که فرموده باشد قال الصادق</w:t>
      </w:r>
      <w:r w:rsidR="00FF4AE5"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طبق این دو مبنا البته این سندش معتبر است. مبنای اول </w:t>
      </w:r>
      <w:r w:rsidR="00FF4AE5" w:rsidRPr="00803273">
        <w:rPr>
          <w:rFonts w:ascii="IRBadr" w:hAnsi="IRBadr" w:cs="IRBadr"/>
          <w:sz w:val="28"/>
          <w:szCs w:val="28"/>
          <w:rtl/>
          <w:lang w:bidi="fa-IR"/>
        </w:rPr>
        <w:t>را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اخباری‌ها داشتند و مبنای دوم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 xml:space="preserve">برای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بعضی بزرگان مثل آقای بروجردی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مرسلات صدوق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>وقتی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نسبت قطعی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می‌گوید قال 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>الصادق (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، قال الباقر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>(ع)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اعتبار دارد. آقای فاضل هم همین را قبول دارند.</w:t>
      </w:r>
    </w:p>
    <w:p w:rsidR="00833B3F" w:rsidRPr="00803273" w:rsidRDefault="00833B3F" w:rsidP="007E3953">
      <w:pPr>
        <w:pStyle w:val="Heading1"/>
        <w:rPr>
          <w:rFonts w:ascii="IRBadr" w:hAnsi="IRBadr" w:cs="IRBadr"/>
          <w:rtl/>
        </w:rPr>
      </w:pPr>
      <w:bookmarkStart w:id="6" w:name="_Toc426361605"/>
      <w:r w:rsidRPr="00803273">
        <w:rPr>
          <w:rFonts w:ascii="IRBadr" w:hAnsi="IRBadr" w:cs="IRBadr"/>
          <w:rtl/>
        </w:rPr>
        <w:t>اتخاذ مبنا</w:t>
      </w:r>
      <w:bookmarkEnd w:id="6"/>
    </w:p>
    <w:p w:rsidR="00833B3F" w:rsidRPr="00803273" w:rsidRDefault="00833B3F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>طبق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این دو مبنا س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ندش معتبر است، ولی این دو مبنا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نیست و لذا از لحاظ سندی مخدوش است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33B3F" w:rsidRPr="00803273" w:rsidRDefault="00833B3F" w:rsidP="007E3953">
      <w:pPr>
        <w:pStyle w:val="Heading1"/>
        <w:rPr>
          <w:rFonts w:ascii="IRBadr" w:hAnsi="IRBadr" w:cs="IRBadr"/>
          <w:rtl/>
        </w:rPr>
      </w:pPr>
      <w:bookmarkStart w:id="7" w:name="_Toc426361606"/>
      <w:r w:rsidRPr="00803273">
        <w:rPr>
          <w:rFonts w:ascii="IRBadr" w:hAnsi="IRBadr" w:cs="IRBadr"/>
          <w:rtl/>
        </w:rPr>
        <w:t>مناقشه دوم</w:t>
      </w:r>
      <w:bookmarkEnd w:id="7"/>
    </w:p>
    <w:p w:rsidR="00833B3F" w:rsidRPr="00803273" w:rsidRDefault="00833B3F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مناقشه دوم به جنبه دلالی روایت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عاید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>حضرت در جواب سؤال نفرمودند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حد بر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مرد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جاری نمی‌شود، فقط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زن مورد حد قرار می‌گیرد. نفی حد بر مرد 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>نکرده‌اند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>، استدلال این روایت مبتنی بر این است که بگوییم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؛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حد قذف بر مرد جاری نمی‌شود، چون زن به زنای خودش اقرار کرده است.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>اینکه حد قذف بر مرد جاری نمی‌شود، در جایی از روایت به آن تصریح نشده است</w:t>
      </w:r>
    </w:p>
    <w:p w:rsidR="00833B3F" w:rsidRPr="00803273" w:rsidRDefault="00833B3F" w:rsidP="007E3953">
      <w:pPr>
        <w:pStyle w:val="Heading1"/>
        <w:rPr>
          <w:rFonts w:ascii="IRBadr" w:hAnsi="IRBadr" w:cs="IRBadr"/>
          <w:rtl/>
        </w:rPr>
      </w:pPr>
      <w:bookmarkStart w:id="8" w:name="_Toc426361607"/>
      <w:r w:rsidRPr="00803273">
        <w:rPr>
          <w:rFonts w:ascii="IRBadr" w:hAnsi="IRBadr" w:cs="IRBadr"/>
          <w:rtl/>
        </w:rPr>
        <w:t>اتخاذ مبنا</w:t>
      </w:r>
      <w:bookmarkEnd w:id="8"/>
    </w:p>
    <w:p w:rsidR="00833B3F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این اشکال دلالی احتمالاً وارد نباشد.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سؤال سائل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محط کلام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 xml:space="preserve">است یعنی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سؤال سائل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 xml:space="preserve">مستقیم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متوجه مرد بوده یا حداقل راجع به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>او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هم سؤال کرده است. امام در جواب آن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>حکم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زن را جواب می‌دهند و مرد را </w:t>
      </w:r>
      <w:r w:rsidR="00833B3F" w:rsidRPr="00803273">
        <w:rPr>
          <w:rFonts w:ascii="IRBadr" w:hAnsi="IRBadr" w:cs="IRBadr"/>
          <w:sz w:val="28"/>
          <w:szCs w:val="28"/>
          <w:rtl/>
          <w:lang w:bidi="fa-IR"/>
        </w:rPr>
        <w:t>پاسخ نمی‌دهند.</w:t>
      </w:r>
    </w:p>
    <w:p w:rsidR="00833B3F" w:rsidRPr="00803273" w:rsidRDefault="00833B3F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>لذا وقتی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سؤال از مرد بوده و امام راجع به زن جواب می‌دهد، عرفاً ظهور پیدا می‌کند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که سکوت در قبال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دلیل بر این است که او مورد حد قرار نمی‌گیرد. فکر می‌کنم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ظهور عرفی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>در این جهت دارد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.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س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در حقیقت این دلالت وجود دارد،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چون سند معتبر نیست 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بدان 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>تکیه کرد.</w:t>
      </w:r>
    </w:p>
    <w:p w:rsidR="00833B3F" w:rsidRPr="00803273" w:rsidRDefault="00DD3F2D" w:rsidP="007E3953">
      <w:pPr>
        <w:pStyle w:val="Heading2"/>
        <w:rPr>
          <w:rFonts w:ascii="IRBadr" w:hAnsi="IRBadr" w:cs="IRBadr"/>
          <w:rtl/>
        </w:rPr>
      </w:pPr>
      <w:r w:rsidRPr="00803273">
        <w:rPr>
          <w:rFonts w:ascii="IRBadr" w:hAnsi="IRBadr" w:cs="IRBadr"/>
          <w:rtl/>
        </w:rPr>
        <w:lastRenderedPageBreak/>
        <w:t xml:space="preserve"> </w:t>
      </w:r>
      <w:bookmarkStart w:id="9" w:name="_Toc426361608"/>
      <w:r w:rsidR="00962FF0" w:rsidRPr="00803273">
        <w:rPr>
          <w:rFonts w:ascii="IRBadr" w:hAnsi="IRBadr" w:cs="IRBadr"/>
          <w:rtl/>
        </w:rPr>
        <w:t>فرض توبه در این باب</w:t>
      </w:r>
      <w:bookmarkEnd w:id="9"/>
    </w:p>
    <w:p w:rsidR="00962FF0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>در جهت سوم بحث می‌کردیم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اگر اقرار او با توبه است. یعنی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به زنا 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 xml:space="preserve">اقرار می‌کند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اما در حالی است که می‌گوید من توبه 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>کرده‌ام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و احیاناً دیگران هم می‌دانند 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>او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توبه کرده است. آیا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اینجا 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>نیز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حکمش این 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 xml:space="preserve">بوده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که چون اقرار کرده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 xml:space="preserve"> است، حد قذف ثابت می‌شود؟</w:t>
      </w:r>
    </w:p>
    <w:p w:rsidR="00962FF0" w:rsidRPr="00803273" w:rsidRDefault="00962FF0" w:rsidP="007E3953">
      <w:pPr>
        <w:pStyle w:val="Heading2"/>
        <w:rPr>
          <w:rFonts w:ascii="IRBadr" w:hAnsi="IRBadr" w:cs="IRBadr"/>
          <w:rtl/>
        </w:rPr>
      </w:pPr>
      <w:bookmarkStart w:id="10" w:name="_Toc426361609"/>
      <w:r w:rsidRPr="00803273">
        <w:rPr>
          <w:rFonts w:ascii="IRBadr" w:hAnsi="IRBadr" w:cs="IRBadr"/>
          <w:rtl/>
        </w:rPr>
        <w:t>تشریح احتمالات</w:t>
      </w:r>
      <w:bookmarkEnd w:id="10"/>
    </w:p>
    <w:p w:rsidR="00962FF0" w:rsidRPr="00803273" w:rsidRDefault="00962FF0" w:rsidP="007E3953">
      <w:pPr>
        <w:pStyle w:val="Heading2"/>
        <w:rPr>
          <w:rFonts w:ascii="IRBadr" w:hAnsi="IRBadr" w:cs="IRBadr"/>
          <w:rtl/>
        </w:rPr>
      </w:pPr>
      <w:bookmarkStart w:id="11" w:name="_Toc426361610"/>
      <w:r w:rsidRPr="00803273">
        <w:rPr>
          <w:rFonts w:ascii="IRBadr" w:hAnsi="IRBadr" w:cs="IRBadr"/>
          <w:rtl/>
        </w:rPr>
        <w:t>احتمال اول</w:t>
      </w:r>
      <w:bookmarkEnd w:id="11"/>
    </w:p>
    <w:p w:rsidR="00962FF0" w:rsidRPr="00803273" w:rsidRDefault="00962FF0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اینجا دو احتمال وجود دارد.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تاکنون 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>ندیده‌ام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پاسخ بدین شکل طرح شده باشد.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یک احتمال این است که بگوییم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به این معصیت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>اقرار کرد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دیگر محصن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و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عفیف نیست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دیگر حد قذف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اینجا وجود ندارد.</w:t>
      </w:r>
    </w:p>
    <w:p w:rsidR="00962FF0" w:rsidRPr="00803273" w:rsidRDefault="00962FF0" w:rsidP="007E3953">
      <w:pPr>
        <w:pStyle w:val="Heading2"/>
        <w:rPr>
          <w:rFonts w:ascii="IRBadr" w:hAnsi="IRBadr" w:cs="IRBadr"/>
          <w:rtl/>
        </w:rPr>
      </w:pPr>
      <w:bookmarkStart w:id="12" w:name="_Toc426361611"/>
      <w:r w:rsidRPr="00803273">
        <w:rPr>
          <w:rFonts w:ascii="IRBadr" w:hAnsi="IRBadr" w:cs="IRBadr"/>
          <w:rtl/>
        </w:rPr>
        <w:t>احتمال دوم</w:t>
      </w:r>
      <w:bookmarkEnd w:id="12"/>
    </w:p>
    <w:p w:rsidR="00962FF0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احتمال دوم این است که بین صورت توبه و عدم توبه فرق بگذاریم. بگوییم آنجایی که توبه 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>و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اقرار می‌کند،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آنجایی که دیگران هم می‌دانند او توبه 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>نموده است،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یعنی مشهور به توبه است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 xml:space="preserve">، این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شخص محصن است و حد قذف ساقط نمی‌شود.</w:t>
      </w:r>
    </w:p>
    <w:p w:rsidR="00962FF0" w:rsidRPr="00803273" w:rsidRDefault="00962FF0" w:rsidP="007E3953">
      <w:pPr>
        <w:pStyle w:val="Heading2"/>
        <w:rPr>
          <w:rFonts w:ascii="IRBadr" w:hAnsi="IRBadr" w:cs="IRBadr"/>
          <w:rtl/>
        </w:rPr>
      </w:pPr>
      <w:bookmarkStart w:id="13" w:name="_Toc426361612"/>
      <w:r w:rsidRPr="00803273">
        <w:rPr>
          <w:rFonts w:ascii="IRBadr" w:hAnsi="IRBadr" w:cs="IRBadr"/>
          <w:rtl/>
        </w:rPr>
        <w:t>مبنای دو احتمال</w:t>
      </w:r>
      <w:bookmarkEnd w:id="13"/>
    </w:p>
    <w:p w:rsidR="00962FF0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مبنای دو احتمال 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 xml:space="preserve">ذکر شده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به این نکته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که در بین این ادله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عمده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 xml:space="preserve"> دلیل همان احصان بود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که باید 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 xml:space="preserve">بررسی شود در اینجا صدق 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962FF0" w:rsidRPr="00803273">
        <w:rPr>
          <w:rFonts w:ascii="IRBadr" w:hAnsi="IRBadr" w:cs="IRBadr"/>
          <w:sz w:val="28"/>
          <w:szCs w:val="28"/>
          <w:rtl/>
          <w:lang w:bidi="fa-IR"/>
        </w:rPr>
        <w:t xml:space="preserve"> یا خیر؟</w:t>
      </w:r>
    </w:p>
    <w:p w:rsidR="000D5B23" w:rsidRPr="00803273" w:rsidRDefault="000D5B23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>در اینجا سه دلیل وجود داشت،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تعبیر</w:t>
      </w:r>
      <w:r w:rsidR="00BF26AB" w:rsidRPr="00803273">
        <w:rPr>
          <w:rFonts w:ascii="IRBadr" w:hAnsi="IRBadr" w:cs="IRBadr"/>
          <w:sz w:val="28"/>
          <w:szCs w:val="28"/>
          <w:rtl/>
          <w:lang w:bidi="fa-IR"/>
        </w:rPr>
        <w:t xml:space="preserve"> به محصنات در آیه و روایات،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دیگری</w:t>
      </w:r>
      <w:r w:rsidR="00BF26AB" w:rsidRPr="00803273">
        <w:rPr>
          <w:rFonts w:ascii="IRBadr" w:hAnsi="IRBadr" w:cs="IRBadr"/>
          <w:sz w:val="28"/>
          <w:szCs w:val="28"/>
          <w:rtl/>
          <w:lang w:bidi="fa-IR"/>
        </w:rPr>
        <w:t xml:space="preserve"> لزوم اتیان به چهار شاهد و دلیل سوم روایت مرسله ای بود که بیان شد.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BF26AB" w:rsidRPr="00803273">
        <w:rPr>
          <w:rFonts w:ascii="IRBadr" w:hAnsi="IRBadr" w:cs="IRBadr"/>
          <w:sz w:val="28"/>
          <w:szCs w:val="28"/>
          <w:rtl/>
          <w:lang w:bidi="fa-IR"/>
        </w:rPr>
        <w:t xml:space="preserve"> مورد دوم و سوم اطلاقی وجود نداشت،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BF26AB" w:rsidRPr="00803273">
        <w:rPr>
          <w:rFonts w:ascii="IRBadr" w:hAnsi="IRBadr" w:cs="IRBadr"/>
          <w:sz w:val="28"/>
          <w:szCs w:val="28"/>
          <w:rtl/>
          <w:lang w:bidi="fa-IR"/>
        </w:rPr>
        <w:t xml:space="preserve"> عمده دلیل همان تعبیر محصنات است. پس باید ببینیم رمی محصنات در اینجا صادق است یا خیر؟</w:t>
      </w:r>
    </w:p>
    <w:p w:rsidR="00597BF6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این دو احتمال در بحث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دایر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مدار بر این است که 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 xml:space="preserve">محصن را چطور معنا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کنیم. بگوییم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 xml:space="preserve"> محصن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یعنی آن کسی که گناه او 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 xml:space="preserve">ثابت نشده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یا اینکه اگر هم ثابت شده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توبه کرده است، باز هم این محصن است. 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>پس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تابع این است که کدام از این دو احتمال را بپذیریم.</w:t>
      </w:r>
    </w:p>
    <w:p w:rsidR="00597BF6" w:rsidRPr="00803273" w:rsidRDefault="00597BF6" w:rsidP="007E3953">
      <w:pPr>
        <w:pStyle w:val="Heading2"/>
        <w:rPr>
          <w:rFonts w:ascii="IRBadr" w:hAnsi="IRBadr" w:cs="IRBadr"/>
          <w:rtl/>
        </w:rPr>
      </w:pPr>
      <w:bookmarkStart w:id="14" w:name="_Toc426361613"/>
      <w:r w:rsidRPr="00803273">
        <w:rPr>
          <w:rFonts w:ascii="IRBadr" w:hAnsi="IRBadr" w:cs="IRBadr"/>
          <w:rtl/>
        </w:rPr>
        <w:lastRenderedPageBreak/>
        <w:t>اتخاذ مبنا</w:t>
      </w:r>
      <w:bookmarkEnd w:id="14"/>
    </w:p>
    <w:p w:rsidR="00597BF6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تعیین این دو احتمال کار دشواری است. اما به دلیل قاعده تدرع الحدود بعید نیست 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 xml:space="preserve">که اگر اقرار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کند، ولو اینکه ب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 xml:space="preserve">گوید توبه کردم، حد قذف ساقط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شود. گرچه قطعی نمی‌گوییم، احصان معنای مطلق دارد یا معنای خاص دارد. اما به دلیل همین شکی که در این مفهوم وجود دارد و 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>نمی‌دانیم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حد قذف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 xml:space="preserve"> موجود است یا ساقط شده است؟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قاعده تدرع الحدود 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>می‌گوید حد قذف ساقط می‌شود.</w:t>
      </w:r>
    </w:p>
    <w:p w:rsidR="00597BF6" w:rsidRPr="00803273" w:rsidRDefault="00597BF6" w:rsidP="007E3953">
      <w:pPr>
        <w:pStyle w:val="Heading2"/>
        <w:rPr>
          <w:rFonts w:ascii="IRBadr" w:hAnsi="IRBadr" w:cs="IRBadr"/>
          <w:rtl/>
        </w:rPr>
      </w:pPr>
      <w:bookmarkStart w:id="15" w:name="_Toc426361614"/>
      <w:r w:rsidRPr="00803273">
        <w:rPr>
          <w:rFonts w:ascii="IRBadr" w:hAnsi="IRBadr" w:cs="IRBadr"/>
          <w:rtl/>
        </w:rPr>
        <w:t>بررسی مسقط اقرار</w:t>
      </w:r>
      <w:bookmarkEnd w:id="15"/>
    </w:p>
    <w:p w:rsidR="00597BF6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گاهی است این اقرار و اعتراف،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درملأعام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اقرار علنی است. اما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 xml:space="preserve"> فرض دیگری از اقرار وجود دارد که او در جمعی محدود و به نحو اخفایی اقرار 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97BF6" w:rsidRPr="00803273">
        <w:rPr>
          <w:rFonts w:ascii="IRBadr" w:hAnsi="IRBadr" w:cs="IRBadr"/>
          <w:sz w:val="28"/>
          <w:szCs w:val="28"/>
          <w:rtl/>
          <w:lang w:bidi="fa-IR"/>
        </w:rPr>
        <w:t>آیا مسقطیت اقرار تنها در فرض علنی بودن است؟ ندیدیم جز آقای مؤمن به این بحث پرداخته باشند.</w:t>
      </w:r>
    </w:p>
    <w:p w:rsidR="00494EF4" w:rsidRPr="00803273" w:rsidRDefault="00597BF6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>فرض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این است که اقرار چهار بار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>نبوده بلکه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یک بار است. اگر اقرار چهار بار باشد که به حد برسد، عملاً علنی می‌شود.</w:t>
      </w:r>
    </w:p>
    <w:p w:rsidR="00494EF4" w:rsidRPr="00803273" w:rsidRDefault="00494EF4" w:rsidP="007E3953">
      <w:pPr>
        <w:pStyle w:val="Heading2"/>
        <w:rPr>
          <w:rFonts w:ascii="IRBadr" w:hAnsi="IRBadr" w:cs="IRBadr"/>
          <w:rtl/>
        </w:rPr>
      </w:pPr>
      <w:bookmarkStart w:id="16" w:name="_Toc426361615"/>
      <w:r w:rsidRPr="00803273">
        <w:rPr>
          <w:rFonts w:ascii="IRBadr" w:hAnsi="IRBadr" w:cs="IRBadr"/>
          <w:rtl/>
        </w:rPr>
        <w:t>اتخاذ مبنا</w:t>
      </w:r>
      <w:bookmarkEnd w:id="16"/>
    </w:p>
    <w:p w:rsidR="00494EF4" w:rsidRPr="00803273" w:rsidRDefault="00494EF4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پاسخ به این سؤال نیز دوباره منوط به معنی احصان 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اگر قائل شویم محصنات معنای عامی داشته حتی فردی که یک بار اقرار کرده است،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نحوی محرمانه و اقرار شرعی هم نبوده است؛ در این صورت حد قذف بر فرد جاری است.</w:t>
      </w:r>
    </w:p>
    <w:p w:rsidR="00494EF4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اگر بگوییم ولو 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یک جا اقرار کرده و پیش حاکم هم ثابت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 xml:space="preserve"> شده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است که او ولو محرمانه اقرار به این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>نموده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است، دیگر حد قذف بر این شخص جاری نمی‌شود. 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>چراکه دیگر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محصن 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 xml:space="preserve">صدق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نمی‌کند. این هم نظیر همان بحث قبلی است.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اینجا هم ممکن است بگوییم اقرب این باشد که صدق محصن نکند، 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>هرچند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اگر اقرب هم نباشد، جای تردید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 xml:space="preserve"> و قاعده درع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 xml:space="preserve"> مبنایی است که آقای مؤمن در آنجا اتخاذ 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494EF4" w:rsidRPr="0080327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94EF4" w:rsidRPr="00803273" w:rsidRDefault="00803273" w:rsidP="007E3953">
      <w:pPr>
        <w:pStyle w:val="Heading2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جمع‌بندی</w:t>
      </w:r>
    </w:p>
    <w:p w:rsidR="00257A8D" w:rsidRPr="00803273" w:rsidRDefault="00494EF4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پس ما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ظاهر اطلاق مشهور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را پذیرفتیم،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یعنی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اقرار، اقرار مسقط حد قذف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 xml:space="preserve"> است. فرقی بین این صور نمی‌کند؛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>چه اقرار شرعی مثبت حد زنا باشد که چهار بار عند الحاکم است، چه کمتر از آن باشد. فرقی نمی‌کند که این اقرار، اقرار علنی و آشکار باشد، یا اقرار مخفی و نهان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. و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فرقی نمی‌کند که اقرار او با توبه باشد یا بدون توبه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.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فقط جناب آقای مؤمن حفظه الله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>اقرار اگر علنی نبود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ه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و سری بود، مسقط حد قذف نیست.</w:t>
      </w:r>
    </w:p>
    <w:p w:rsidR="00257A8D" w:rsidRPr="00803273" w:rsidRDefault="00257A8D" w:rsidP="007E3953">
      <w:pPr>
        <w:pStyle w:val="Heading3"/>
        <w:rPr>
          <w:rFonts w:ascii="IRBadr" w:hAnsi="IRBadr" w:cs="IRBadr"/>
          <w:rtl/>
        </w:rPr>
      </w:pPr>
      <w:bookmarkStart w:id="17" w:name="_Toc426361617"/>
      <w:r w:rsidRPr="00803273">
        <w:rPr>
          <w:rFonts w:ascii="IRBadr" w:hAnsi="IRBadr" w:cs="IRBadr"/>
          <w:rtl/>
        </w:rPr>
        <w:lastRenderedPageBreak/>
        <w:t>اقسام قذف</w:t>
      </w:r>
      <w:bookmarkEnd w:id="17"/>
    </w:p>
    <w:p w:rsidR="00257A8D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>قذف دو قسم است. گاهی متقدم بر اقرار است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گاهی است اقرار متقدم است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.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ظاهراً بین این دو نباید فرقی باشد.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منتهای امر است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 xml:space="preserve"> است که قبل از اجرای حد اقرار کند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ولو قذف عند الحاکم هم ثابت شده باشد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بنابراین حد اقرار مقذوف مسقط حد قذف است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؛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چه قبل از قذف باشد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چه بعد القذف، چه قبل الحکم باشد چه بعد الحکم،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مادامی‌که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حکم جاری نشده است.</w:t>
      </w:r>
    </w:p>
    <w:p w:rsidR="00257A8D" w:rsidRPr="00803273" w:rsidRDefault="00257A8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57A8D" w:rsidRPr="00803273" w:rsidRDefault="00257A8D" w:rsidP="007E3953">
      <w:pPr>
        <w:pStyle w:val="Heading4"/>
        <w:ind w:firstLine="0"/>
        <w:rPr>
          <w:rFonts w:ascii="IRBadr" w:hAnsi="IRBadr" w:cs="IRBadr"/>
          <w:rtl/>
        </w:rPr>
      </w:pPr>
      <w:r w:rsidRPr="00803273">
        <w:rPr>
          <w:rFonts w:ascii="IRBadr" w:hAnsi="IRBadr" w:cs="IRBadr"/>
          <w:rtl/>
        </w:rPr>
        <w:t>اقرار کاشف</w:t>
      </w:r>
    </w:p>
    <w:p w:rsidR="00257A8D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جهت ششم این است که اگر بعد از اجرای حد قذف ثابت شد که قبلاً 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ا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قرار کرده است، یا اینکه بعدش اقرار کرد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،</w:t>
      </w:r>
      <w:r w:rsidR="007E3953" w:rsidRPr="0080327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 xml:space="preserve"> اینجا حکم چیست؟</w:t>
      </w:r>
    </w:p>
    <w:p w:rsidR="00257A8D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ظاهراً این اقرار کشف می‌کند که این شخص محصن نیست.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بعد از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اجرای حکم معلوم شد که اقرار قبلی داشته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 xml:space="preserve"> است و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حاکم نمی‌دانسته، اینجا جای خطای قاضی است و 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او در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آن وقت محصن نبوده است و لذا حکم 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به اشتباه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جاری شده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 xml:space="preserve"> است و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دیه‌اش باید از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بیت‌المال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7A8D" w:rsidRPr="00803273">
        <w:rPr>
          <w:rFonts w:ascii="IRBadr" w:hAnsi="IRBadr" w:cs="IRBadr"/>
          <w:sz w:val="28"/>
          <w:szCs w:val="28"/>
          <w:rtl/>
          <w:lang w:bidi="fa-IR"/>
        </w:rPr>
        <w:t>پرداخت شود.</w:t>
      </w:r>
    </w:p>
    <w:p w:rsidR="00257A8D" w:rsidRPr="00803273" w:rsidRDefault="00257A8D" w:rsidP="007E3953">
      <w:pPr>
        <w:pStyle w:val="Heading4"/>
        <w:ind w:firstLine="0"/>
        <w:rPr>
          <w:rFonts w:ascii="IRBadr" w:hAnsi="IRBadr" w:cs="IRBadr"/>
          <w:rtl/>
        </w:rPr>
      </w:pPr>
      <w:r w:rsidRPr="00803273">
        <w:rPr>
          <w:rFonts w:ascii="IRBadr" w:hAnsi="IRBadr" w:cs="IRBadr"/>
          <w:rtl/>
        </w:rPr>
        <w:t>مسقط دوم:</w:t>
      </w:r>
      <w:r w:rsidR="007E3953" w:rsidRPr="00803273">
        <w:rPr>
          <w:rFonts w:ascii="IRBadr" w:hAnsi="IRBadr" w:cs="IRBadr"/>
          <w:rtl/>
        </w:rPr>
        <w:t xml:space="preserve"> اقامه</w:t>
      </w:r>
      <w:r w:rsidRPr="00803273">
        <w:rPr>
          <w:rFonts w:ascii="IRBadr" w:hAnsi="IRBadr" w:cs="IRBadr"/>
          <w:rtl/>
        </w:rPr>
        <w:t xml:space="preserve"> بینه</w:t>
      </w:r>
    </w:p>
    <w:p w:rsidR="002E4FE2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مسقط دوم اقامه بینه است.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چهار شاهد عادل شهادت </w:t>
      </w:r>
      <w:r w:rsidR="002E4FE2" w:rsidRPr="00803273">
        <w:rPr>
          <w:rFonts w:ascii="IRBadr" w:hAnsi="IRBadr" w:cs="IRBadr"/>
          <w:sz w:val="28"/>
          <w:szCs w:val="28"/>
          <w:rtl/>
          <w:lang w:bidi="fa-IR"/>
        </w:rPr>
        <w:t>دادند.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ممکن است یکی هم خودش باشد، </w:t>
      </w:r>
      <w:r w:rsidR="00803273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قبلاً عادل بوده </w:t>
      </w:r>
      <w:r w:rsidR="002E4FE2" w:rsidRPr="00803273">
        <w:rPr>
          <w:rFonts w:ascii="IRBadr" w:hAnsi="IRBadr" w:cs="IRBadr"/>
          <w:sz w:val="28"/>
          <w:szCs w:val="28"/>
          <w:rtl/>
          <w:lang w:bidi="fa-IR"/>
        </w:rPr>
        <w:t>باشد.</w:t>
      </w:r>
    </w:p>
    <w:p w:rsidR="002E4FE2" w:rsidRPr="00803273" w:rsidRDefault="00DD3F2D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>در الفقه</w:t>
      </w:r>
      <w:r w:rsidR="002E4FE2" w:rsidRPr="00803273">
        <w:rPr>
          <w:rFonts w:ascii="IRBadr" w:hAnsi="IRBadr" w:cs="IRBadr"/>
          <w:sz w:val="28"/>
          <w:szCs w:val="28"/>
          <w:rtl/>
          <w:lang w:bidi="fa-IR"/>
        </w:rPr>
        <w:t xml:space="preserve"> علی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المذاهب الاربعه</w:t>
      </w:r>
      <w:r w:rsidR="002E4FE2" w:rsidRPr="00803273">
        <w:rPr>
          <w:rFonts w:ascii="IRBadr" w:hAnsi="IRBadr" w:cs="IRBadr"/>
          <w:sz w:val="28"/>
          <w:szCs w:val="28"/>
          <w:rtl/>
          <w:lang w:bidi="fa-IR"/>
        </w:rPr>
        <w:t xml:space="preserve"> در صفحه دویست و بیست آمده است که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عامه هم همین بحث را دارند</w:t>
      </w:r>
      <w:r w:rsidR="002E4FE2" w:rsidRPr="00803273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بین عامه و خاصه و فقها اختلافی د</w:t>
      </w:r>
      <w:r w:rsidR="002E4FE2" w:rsidRPr="00803273">
        <w:rPr>
          <w:rFonts w:ascii="IRBadr" w:hAnsi="IRBadr" w:cs="IRBadr"/>
          <w:sz w:val="28"/>
          <w:szCs w:val="28"/>
          <w:rtl/>
          <w:lang w:bidi="fa-IR"/>
        </w:rPr>
        <w:t>ر این نیست که اگر بینه شرعی قائم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شد، دیگر حد قذفی متوجه او نیست. این اصل قضیه مسلم است و محل بحثی نیست. دلیلش هم آن آیه شریفه است، از دو جهت آیه شریفه دلالت بر این مسئله می‌کند.</w:t>
      </w:r>
    </w:p>
    <w:p w:rsidR="002E4FE2" w:rsidRPr="00803273" w:rsidRDefault="002E4FE2" w:rsidP="007E3953">
      <w:pPr>
        <w:pStyle w:val="Heading4"/>
        <w:ind w:firstLine="0"/>
        <w:rPr>
          <w:rFonts w:ascii="IRBadr" w:hAnsi="IRBadr" w:cs="IRBadr"/>
          <w:rtl/>
        </w:rPr>
      </w:pPr>
      <w:r w:rsidRPr="00803273">
        <w:rPr>
          <w:rFonts w:ascii="IRBadr" w:hAnsi="IRBadr" w:cs="IRBadr"/>
          <w:rtl/>
        </w:rPr>
        <w:t>جهات دلالت آیه</w:t>
      </w:r>
    </w:p>
    <w:p w:rsidR="002E4FE2" w:rsidRPr="00803273" w:rsidRDefault="002E4FE2" w:rsidP="007E39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صراحت شهدا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اربعه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3F2D" w:rsidRPr="00803273">
        <w:rPr>
          <w:rFonts w:ascii="IRBadr" w:hAnsi="IRBadr" w:cs="IRBadr"/>
          <w:sz w:val="28"/>
          <w:szCs w:val="28"/>
          <w:rtl/>
          <w:lang w:bidi="fa-IR"/>
        </w:rPr>
        <w:t>علاوه بر آیه شریفه</w:t>
      </w:r>
      <w:r w:rsidRPr="00803273">
        <w:rPr>
          <w:rFonts w:ascii="IRBadr" w:hAnsi="IRBadr" w:cs="IRBadr"/>
          <w:sz w:val="28"/>
          <w:szCs w:val="28"/>
          <w:rtl/>
          <w:lang w:bidi="fa-IR"/>
        </w:rPr>
        <w:t>، خود مرسلات هم این را می‌رساند.</w:t>
      </w:r>
    </w:p>
    <w:p w:rsidR="00152670" w:rsidRPr="00803273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803273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A2" w:rsidRDefault="003D61A2" w:rsidP="000D5800">
      <w:pPr>
        <w:spacing w:after="0" w:line="240" w:lineRule="auto"/>
      </w:pPr>
      <w:r>
        <w:separator/>
      </w:r>
    </w:p>
  </w:endnote>
  <w:endnote w:type="continuationSeparator" w:id="0">
    <w:p w:rsidR="003D61A2" w:rsidRDefault="003D61A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A2" w:rsidRDefault="003D61A2" w:rsidP="009155AE">
      <w:pPr>
        <w:bidi/>
        <w:spacing w:after="0" w:line="240" w:lineRule="auto"/>
      </w:pPr>
      <w:r>
        <w:separator/>
      </w:r>
    </w:p>
  </w:footnote>
  <w:footnote w:type="continuationSeparator" w:id="0">
    <w:p w:rsidR="003D61A2" w:rsidRDefault="003D61A2" w:rsidP="000D5800">
      <w:pPr>
        <w:spacing w:after="0" w:line="240" w:lineRule="auto"/>
      </w:pPr>
      <w:r>
        <w:continuationSeparator/>
      </w:r>
    </w:p>
  </w:footnote>
  <w:footnote w:id="1">
    <w:p w:rsidR="007E3953" w:rsidRDefault="007E395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E3953">
        <w:rPr>
          <w:rFonts w:ascii="Noor_Titr" w:hAnsi="Noor_Titr" w:cs="B Badr" w:hint="cs"/>
          <w:color w:val="000000" w:themeColor="text1"/>
          <w:rtl/>
        </w:rPr>
        <w:t xml:space="preserve">من لا 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7E3953">
        <w:rPr>
          <w:rFonts w:ascii="Noor_Titr" w:hAnsi="Noor_Titr" w:cs="B Badr" w:hint="cs"/>
          <w:color w:val="000000" w:themeColor="text1"/>
          <w:rtl/>
        </w:rPr>
        <w:t>حضره الفق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7E3953">
        <w:rPr>
          <w:rFonts w:ascii="Noor_Titr" w:hAnsi="Noor_Titr" w:cs="B Badr" w:hint="cs"/>
          <w:color w:val="000000" w:themeColor="text1"/>
          <w:rtl/>
        </w:rPr>
        <w:t xml:space="preserve">ه؛ </w:t>
      </w:r>
      <w:r>
        <w:rPr>
          <w:rFonts w:ascii="Noor_Titr" w:hAnsi="Noor_Titr" w:cs="B Badr"/>
          <w:color w:val="000000" w:themeColor="text1"/>
          <w:rtl/>
        </w:rPr>
        <w:t>ج 4</w:t>
      </w:r>
      <w:r w:rsidRPr="007E3953">
        <w:rPr>
          <w:rFonts w:ascii="Noor_Titr" w:hAnsi="Noor_Titr" w:cs="B Badr" w:hint="cs"/>
          <w:color w:val="000000" w:themeColor="text1"/>
          <w:rtl/>
        </w:rPr>
        <w:t>، ص: 73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57" w:rsidRPr="000D5800" w:rsidRDefault="00E05157" w:rsidP="00DD3F2D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846BCDF" wp14:editId="4CC8A90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2D748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fa-IR"/>
      </w:rPr>
      <w:drawing>
        <wp:inline distT="0" distB="0" distL="0" distR="0" wp14:anchorId="490A4318" wp14:editId="29BCD4B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7E3953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/>
        <w:sz w:val="40"/>
        <w:szCs w:val="40"/>
      </w:rPr>
      <w:t>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2D"/>
    <w:rsid w:val="000228A2"/>
    <w:rsid w:val="000310BD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D5B23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57A8D"/>
    <w:rsid w:val="00270294"/>
    <w:rsid w:val="00272CC5"/>
    <w:rsid w:val="002914BD"/>
    <w:rsid w:val="00297263"/>
    <w:rsid w:val="002C56FD"/>
    <w:rsid w:val="002D49E4"/>
    <w:rsid w:val="002E450B"/>
    <w:rsid w:val="002E4FE2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D61A2"/>
    <w:rsid w:val="003E1E58"/>
    <w:rsid w:val="00405199"/>
    <w:rsid w:val="00410699"/>
    <w:rsid w:val="00415360"/>
    <w:rsid w:val="0044591E"/>
    <w:rsid w:val="004651D2"/>
    <w:rsid w:val="00465D26"/>
    <w:rsid w:val="004679F8"/>
    <w:rsid w:val="00494EF4"/>
    <w:rsid w:val="00495D29"/>
    <w:rsid w:val="004B337F"/>
    <w:rsid w:val="004F3596"/>
    <w:rsid w:val="00572E2D"/>
    <w:rsid w:val="00592103"/>
    <w:rsid w:val="005941DD"/>
    <w:rsid w:val="00597BF6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3953"/>
    <w:rsid w:val="007E7FA7"/>
    <w:rsid w:val="007F0721"/>
    <w:rsid w:val="007F4A90"/>
    <w:rsid w:val="00803273"/>
    <w:rsid w:val="00803501"/>
    <w:rsid w:val="0080799B"/>
    <w:rsid w:val="00807BE3"/>
    <w:rsid w:val="00811F02"/>
    <w:rsid w:val="00833B3F"/>
    <w:rsid w:val="008407A4"/>
    <w:rsid w:val="00844860"/>
    <w:rsid w:val="00845CC4"/>
    <w:rsid w:val="008644F4"/>
    <w:rsid w:val="00883733"/>
    <w:rsid w:val="008916DE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155AE"/>
    <w:rsid w:val="00927388"/>
    <w:rsid w:val="009274FE"/>
    <w:rsid w:val="009401AC"/>
    <w:rsid w:val="009613AC"/>
    <w:rsid w:val="00962FF0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26AB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8652F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3F2D"/>
    <w:rsid w:val="00DD4864"/>
    <w:rsid w:val="00DD71A2"/>
    <w:rsid w:val="00DE1DC4"/>
    <w:rsid w:val="00E04F21"/>
    <w:rsid w:val="00E05157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6358"/>
    <w:rsid w:val="00F40284"/>
    <w:rsid w:val="00F67976"/>
    <w:rsid w:val="00F70BE1"/>
    <w:rsid w:val="00FC0862"/>
    <w:rsid w:val="00FC70FB"/>
    <w:rsid w:val="00FD143D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3F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E39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5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3F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E39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5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B8F3-DBF7-45BA-A484-770AEDBC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326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13</cp:revision>
  <dcterms:created xsi:type="dcterms:W3CDTF">2014-12-22T03:57:00Z</dcterms:created>
  <dcterms:modified xsi:type="dcterms:W3CDTF">2015-07-26T16:27:00Z</dcterms:modified>
</cp:coreProperties>
</file>