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F5" w:rsidRPr="00667212" w:rsidRDefault="00D41F88" w:rsidP="00667212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bookmarkStart w:id="0" w:name="_GoBack"/>
      <w:r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1D1CEB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1D1CEB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  <w:r w:rsidR="00CA0BF5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="00CA0BF5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="00CA0BF5" w:rsidRPr="00667212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="00CA0BF5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="00CA0BF5" w:rsidRPr="00667212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="00CA0BF5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="00CA0BF5" w:rsidRPr="00667212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="00CA0BF5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="00CA0BF5"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CA0BF5" w:rsidRPr="00667212" w:rsidRDefault="0074324A" w:rsidP="00961F9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18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مسقطات حد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_Toc427371818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2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19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_Toc427371819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2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0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جمع‌بندی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_Toc427371820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2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1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روایات دال بر مسقطیت قذف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_Toc427371821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3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2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روایت اول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_Toc427371822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3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3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_Toc427371823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3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4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_Toc427371824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4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5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_Toc427371825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4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6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روایت دوم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_Toc427371826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4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7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_Toc427371827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5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8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اقوال در سماعه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_Toc427371828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5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29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کفایت شرط عدالت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_Toc427371829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5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30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_Toc427371830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6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31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_Toc427371831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6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32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_Toc427371832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6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33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روایت سوم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_Toc427371833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7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1834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_Toc427371834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7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74324A" w:rsidP="00961F9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1835" w:history="1">
        <w:r w:rsidR="00CA0BF5" w:rsidRPr="00667212">
          <w:rPr>
            <w:rStyle w:val="Hyperlink"/>
            <w:rFonts w:ascii="IRBadr" w:hAnsi="IRBadr" w:cs="IRBadr"/>
            <w:noProof/>
            <w:rtl/>
          </w:rPr>
          <w:t>مراد از رفع به حاکم</w:t>
        </w:r>
        <w:r w:rsidR="00CA0BF5" w:rsidRPr="00667212">
          <w:rPr>
            <w:rFonts w:ascii="IRBadr" w:hAnsi="IRBadr" w:cs="IRBadr"/>
            <w:noProof/>
            <w:webHidden/>
          </w:rPr>
          <w:tab/>
        </w:r>
        <w:r w:rsidR="00CA0BF5" w:rsidRPr="00667212">
          <w:rPr>
            <w:rFonts w:ascii="IRBadr" w:hAnsi="IRBadr" w:cs="IRBadr"/>
            <w:noProof/>
            <w:webHidden/>
          </w:rPr>
          <w:fldChar w:fldCharType="begin"/>
        </w:r>
        <w:r w:rsidR="00CA0BF5" w:rsidRPr="00667212">
          <w:rPr>
            <w:rFonts w:ascii="IRBadr" w:hAnsi="IRBadr" w:cs="IRBadr"/>
            <w:noProof/>
            <w:webHidden/>
          </w:rPr>
          <w:instrText xml:space="preserve"> PAGEREF _Toc427371835 \h </w:instrText>
        </w:r>
        <w:r w:rsidR="00CA0BF5" w:rsidRPr="00667212">
          <w:rPr>
            <w:rFonts w:ascii="IRBadr" w:hAnsi="IRBadr" w:cs="IRBadr"/>
            <w:noProof/>
            <w:webHidden/>
          </w:rPr>
        </w:r>
        <w:r w:rsidR="00CA0BF5" w:rsidRPr="00667212">
          <w:rPr>
            <w:rFonts w:ascii="IRBadr" w:hAnsi="IRBadr" w:cs="IRBadr"/>
            <w:noProof/>
            <w:webHidden/>
          </w:rPr>
          <w:fldChar w:fldCharType="separate"/>
        </w:r>
        <w:r w:rsidR="00CA0BF5" w:rsidRPr="00667212">
          <w:rPr>
            <w:rFonts w:ascii="IRBadr" w:hAnsi="IRBadr" w:cs="IRBadr"/>
            <w:noProof/>
            <w:webHidden/>
          </w:rPr>
          <w:t>7</w:t>
        </w:r>
        <w:r w:rsidR="00CA0BF5" w:rsidRPr="00667212">
          <w:rPr>
            <w:rFonts w:ascii="IRBadr" w:hAnsi="IRBadr" w:cs="IRBadr"/>
            <w:noProof/>
            <w:webHidden/>
          </w:rPr>
          <w:fldChar w:fldCharType="end"/>
        </w:r>
      </w:hyperlink>
    </w:p>
    <w:p w:rsidR="00CA0BF5" w:rsidRPr="00667212" w:rsidRDefault="00CA0BF5" w:rsidP="00961F96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667212" w:rsidRDefault="00667212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371818"/>
      <w:r>
        <w:rPr>
          <w:rFonts w:ascii="IRBadr" w:hAnsi="IRBadr" w:cs="IRBadr"/>
          <w:rtl/>
        </w:rPr>
        <w:br w:type="page"/>
      </w:r>
    </w:p>
    <w:p w:rsidR="002D4872" w:rsidRPr="00667212" w:rsidRDefault="00D41F88" w:rsidP="00961F96">
      <w:pPr>
        <w:pStyle w:val="Heading1"/>
        <w:rPr>
          <w:rFonts w:ascii="IRBadr" w:hAnsi="IRBadr" w:cs="IRBadr"/>
          <w:rtl/>
        </w:rPr>
      </w:pPr>
      <w:r w:rsidRPr="00667212">
        <w:rPr>
          <w:rFonts w:ascii="IRBadr" w:hAnsi="IRBadr" w:cs="IRBadr"/>
          <w:rtl/>
        </w:rPr>
        <w:lastRenderedPageBreak/>
        <w:t>مسقطات</w:t>
      </w:r>
      <w:r w:rsidR="002D4872" w:rsidRPr="00667212">
        <w:rPr>
          <w:rFonts w:ascii="IRBadr" w:hAnsi="IRBadr" w:cs="IRBadr"/>
          <w:rtl/>
        </w:rPr>
        <w:t xml:space="preserve"> حد</w:t>
      </w:r>
      <w:bookmarkEnd w:id="1"/>
    </w:p>
    <w:p w:rsidR="002D4872" w:rsidRPr="00667212" w:rsidRDefault="002D4872" w:rsidP="00961F96">
      <w:pPr>
        <w:pStyle w:val="Heading1"/>
        <w:rPr>
          <w:rFonts w:ascii="IRBadr" w:hAnsi="IRBadr" w:cs="IRBadr"/>
          <w:rtl/>
        </w:rPr>
      </w:pPr>
      <w:bookmarkStart w:id="2" w:name="_Toc427371819"/>
      <w:r w:rsidRPr="00667212">
        <w:rPr>
          <w:rFonts w:ascii="IRBadr" w:hAnsi="IRBadr" w:cs="IRBadr"/>
          <w:rtl/>
        </w:rPr>
        <w:t>مرور بحث سابق</w:t>
      </w:r>
      <w:bookmarkEnd w:id="2"/>
    </w:p>
    <w:p w:rsidR="002D4872" w:rsidRPr="00667212" w:rsidRDefault="002D4872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در جلسه سابق بیان شد؛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مسقط برای قذف وجود دارد،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مسقط اول اقرار مقذوف، مسقط دوم بینه در زنا و مسقط سوم که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 عفو مقذوف از قاذف بود.</w:t>
      </w:r>
    </w:p>
    <w:p w:rsidR="00B73724" w:rsidRPr="00667212" w:rsidRDefault="002D4872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بیان شد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در باب عفو تعبیر مسقط تعبیر حقیقی است. به خلاف اقرار و بینه که با نوعی تسامح از آن تعبیر به مسقط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می‌شد. گفته شد که احکام الهی به دو بخش تقسیم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؛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و حق.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فرق حکم و حق این بود که حکم قابل اسقاط و انتقال نیست، ولی حقوق قابل اسقاط و انتقال است. این دو اصطلاحی است که در مکاسب هم آمده بود. در ادامه گفتیم که حدود و مقررات جزایی اسلام به دو قسم تقسیم می‌شود. مقرراتی که حکم 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>یا به تعبیری در اصول فقه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>هستند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 xml:space="preserve"> و اختیارش به دست کسی نیست.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مجازاتی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محض 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 xml:space="preserve">نبوده و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حق‌الناس‌اند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>مثل همین حق حد قذف یا دیات و قصاص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>.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دیات و قصاص مطلقاً جنبه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حق‌الناسی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دارد.</w:t>
      </w:r>
    </w:p>
    <w:p w:rsidR="00B73724" w:rsidRPr="00667212" w:rsidRDefault="00841243" w:rsidP="00961F96">
      <w:pPr>
        <w:pStyle w:val="Heading1"/>
        <w:rPr>
          <w:rFonts w:ascii="IRBadr" w:hAnsi="IRBadr" w:cs="IRBadr"/>
          <w:rtl/>
        </w:rPr>
      </w:pPr>
      <w:bookmarkStart w:id="3" w:name="_Toc427371820"/>
      <w:r w:rsidRPr="00667212">
        <w:rPr>
          <w:rFonts w:ascii="IRBadr" w:hAnsi="IRBadr" w:cs="IRBadr"/>
          <w:rtl/>
        </w:rPr>
        <w:t>جمع‌بندی</w:t>
      </w:r>
      <w:bookmarkEnd w:id="3"/>
    </w:p>
    <w:p w:rsidR="00433CD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بنابراین با توجه به این مقدمات هر 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>امری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که بخواهد حق باشد، یعنی قابل اسقاط یا انتقال باشد، نیاز به دلیل خاص دا</w:t>
      </w:r>
      <w:r w:rsidR="00476A48" w:rsidRPr="00667212">
        <w:rPr>
          <w:rFonts w:ascii="IRBadr" w:hAnsi="IRBadr" w:cs="IRBadr"/>
          <w:sz w:val="28"/>
          <w:szCs w:val="28"/>
          <w:rtl/>
          <w:lang w:bidi="fa-IR"/>
        </w:rPr>
        <w:t>رد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>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میان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 xml:space="preserve"> عامه و خاصه در این حکم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 xml:space="preserve"> وجود دارد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که حد قذف برخلاف بسیاری از حدود دیگر حکم ن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>بوده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>بلکه حق است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حق‌الله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 xml:space="preserve"> محض نیست، بلکه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و با عفو </w:t>
      </w:r>
      <w:r w:rsidR="00841243" w:rsidRPr="00667212">
        <w:rPr>
          <w:rFonts w:ascii="IRBadr" w:hAnsi="IRBadr" w:cs="IRBadr"/>
          <w:sz w:val="28"/>
          <w:szCs w:val="28"/>
          <w:rtl/>
          <w:lang w:bidi="fa-IR"/>
        </w:rPr>
        <w:t>محذوف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ساقط می‌شود. این 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>امر مورد اتفاق است،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منتها </w:t>
      </w:r>
      <w:r w:rsidR="00B73724" w:rsidRPr="00667212">
        <w:rPr>
          <w:rFonts w:ascii="IRBadr" w:hAnsi="IRBadr" w:cs="IRBadr"/>
          <w:sz w:val="28"/>
          <w:szCs w:val="28"/>
          <w:rtl/>
          <w:lang w:bidi="fa-IR"/>
        </w:rPr>
        <w:t>چون خلاف اطلاقات ا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ست باید دلیل</w:t>
      </w:r>
      <w:r w:rsidR="00433CDA" w:rsidRPr="00667212">
        <w:rPr>
          <w:rFonts w:ascii="IRBadr" w:hAnsi="IRBadr" w:cs="IRBadr"/>
          <w:sz w:val="28"/>
          <w:szCs w:val="28"/>
          <w:rtl/>
          <w:lang w:bidi="fa-IR"/>
        </w:rPr>
        <w:t>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خاص برای آن </w:t>
      </w:r>
      <w:r w:rsidR="00433CDA" w:rsidRPr="00667212">
        <w:rPr>
          <w:rFonts w:ascii="IRBadr" w:hAnsi="IRBadr" w:cs="IRBadr"/>
          <w:sz w:val="28"/>
          <w:szCs w:val="28"/>
          <w:rtl/>
          <w:lang w:bidi="fa-IR"/>
        </w:rPr>
        <w:t>یافت شود.</w:t>
      </w:r>
    </w:p>
    <w:p w:rsidR="00433CDA" w:rsidRPr="00667212" w:rsidRDefault="00433CDA" w:rsidP="00961F96">
      <w:pPr>
        <w:pStyle w:val="Heading2"/>
        <w:rPr>
          <w:rFonts w:ascii="IRBadr" w:hAnsi="IRBadr" w:cs="IRBadr"/>
          <w:rtl/>
        </w:rPr>
      </w:pPr>
      <w:bookmarkStart w:id="4" w:name="_Toc427371821"/>
      <w:r w:rsidRPr="00667212">
        <w:rPr>
          <w:rFonts w:ascii="IRBadr" w:hAnsi="IRBadr" w:cs="IRBadr"/>
          <w:rtl/>
        </w:rPr>
        <w:t>روایات دال بر مسقطیت قذف</w:t>
      </w:r>
      <w:bookmarkEnd w:id="4"/>
    </w:p>
    <w:p w:rsidR="00433CDA" w:rsidRPr="00667212" w:rsidRDefault="00433CDA" w:rsidP="00961F96">
      <w:pPr>
        <w:pStyle w:val="Heading2"/>
        <w:rPr>
          <w:rFonts w:ascii="IRBadr" w:hAnsi="IRBadr" w:cs="IRBadr"/>
          <w:rtl/>
        </w:rPr>
      </w:pPr>
      <w:bookmarkStart w:id="5" w:name="_Toc427371822"/>
      <w:r w:rsidRPr="00667212">
        <w:rPr>
          <w:rFonts w:ascii="IRBadr" w:hAnsi="IRBadr" w:cs="IRBadr"/>
          <w:rtl/>
        </w:rPr>
        <w:t>روایت اول</w:t>
      </w:r>
      <w:bookmarkEnd w:id="5"/>
    </w:p>
    <w:p w:rsidR="00433CDA" w:rsidRPr="00667212" w:rsidRDefault="00433CDA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در این مقام چند روایت وجود دارد،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روایت اول که دلالت بر ثبوت حق قذف با عفو می‌کند، یعنی مثبت سوم را اسقاط می‌کند، روایت معتبره یا روایت ضریس کناسی است، این روایت در جلد هیجده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، ابواب حد قذف، باب بیست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، صفحه چهارصد و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پنجاه‌وچهار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است. روایت این است که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83786A" w:rsidRPr="00667212" w:rsidRDefault="0083786A" w:rsidP="00961F9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«وَ رَوَ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الْحَسَنُ بْنُ مَحْبُوبٍ عَنْ عَلِ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رِئَابٍ عَنْ ضُرَ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سٍ عَنْ أَبِ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 لَا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عْفَ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الْحُدُودِ الَّتِ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لِلَّهِ عَزَّ وَ جَلَّ دُونَ الْإِمَامِ فَأَمَّا </w:t>
      </w:r>
      <w:r w:rsidR="00EA1605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ماکان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 حَقِّ النَّاسِ فِ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حَدٍّ فَلَا بَأْسَ أَنْ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عْفَ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عَنْهُ دُونَ الْإِمَامِ»</w:t>
      </w:r>
      <w:r w:rsidRPr="0066721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F13756" w:rsidRPr="00667212" w:rsidRDefault="00F13756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در حقوق الناس مانعی ندارد که غیر امام یعنی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ذی‌حق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عفو کند.</w:t>
      </w:r>
    </w:p>
    <w:p w:rsidR="00F13756" w:rsidRPr="00667212" w:rsidRDefault="00F13756" w:rsidP="00961F96">
      <w:pPr>
        <w:pStyle w:val="Heading2"/>
        <w:rPr>
          <w:rFonts w:ascii="IRBadr" w:hAnsi="IRBadr" w:cs="IRBadr"/>
          <w:rtl/>
        </w:rPr>
      </w:pPr>
      <w:bookmarkStart w:id="6" w:name="_Toc427371823"/>
      <w:r w:rsidRPr="00667212">
        <w:rPr>
          <w:rFonts w:ascii="IRBadr" w:hAnsi="IRBadr" w:cs="IRBadr"/>
          <w:rtl/>
        </w:rPr>
        <w:t>بررسی سندی روایت</w:t>
      </w:r>
      <w:bookmarkEnd w:id="6"/>
    </w:p>
    <w:p w:rsidR="009E484F" w:rsidRPr="00667212" w:rsidRDefault="00F13756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برخی از این روایت تعبیر به غیر موثقه و برخی به معتبره و موثقه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بخشی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از سند این روایت دو قسمت دارد.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یک سند این است که محمد بن یعقوب عن عده اصحابنا عن سهل بن زیاد عن ابن محبوب در </w:t>
      </w:r>
      <w:r w:rsidR="009E484F" w:rsidRPr="00667212">
        <w:rPr>
          <w:rFonts w:ascii="IRBadr" w:hAnsi="IRBadr" w:cs="IRBadr"/>
          <w:sz w:val="28"/>
          <w:szCs w:val="28"/>
          <w:rtl/>
          <w:lang w:bidi="fa-IR"/>
        </w:rPr>
        <w:t>این سند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سهل بن زیاد ا</w:t>
      </w:r>
      <w:r w:rsidR="009E484F" w:rsidRPr="00667212">
        <w:rPr>
          <w:rFonts w:ascii="IRBadr" w:hAnsi="IRBadr" w:cs="IRBadr"/>
          <w:sz w:val="28"/>
          <w:szCs w:val="28"/>
          <w:rtl/>
          <w:lang w:bidi="fa-IR"/>
        </w:rPr>
        <w:t>ست که محل بحث است. اما سند دیگر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این است که محمد بن یعقوب عن عده اصحابنا عن علی بن ابراهیم عن ابیه عن ابن محبوب</w:t>
      </w:r>
      <w:r w:rsidR="009E484F" w:rsidRPr="00667212">
        <w:rPr>
          <w:rFonts w:ascii="IRBadr" w:hAnsi="IRBadr" w:cs="IRBadr"/>
          <w:sz w:val="28"/>
          <w:szCs w:val="28"/>
          <w:rtl/>
          <w:lang w:bidi="fa-IR"/>
        </w:rPr>
        <w:t>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این سند در پدر علی بن ابراهیم که ابراهیم بن هاشم </w:t>
      </w:r>
      <w:r w:rsidR="009E484F" w:rsidRPr="00667212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وجود دارد. اما سابق</w:t>
      </w:r>
      <w:r w:rsidR="009E484F" w:rsidRPr="00667212">
        <w:rPr>
          <w:rFonts w:ascii="IRBadr" w:hAnsi="IRBadr" w:cs="IRBadr"/>
          <w:sz w:val="28"/>
          <w:szCs w:val="28"/>
          <w:rtl/>
          <w:lang w:bidi="fa-IR"/>
        </w:rPr>
        <w:t>اً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گفتیم به </w:t>
      </w:r>
      <w:r w:rsidR="009E484F" w:rsidRPr="00667212">
        <w:rPr>
          <w:rFonts w:ascii="IRBadr" w:hAnsi="IRBadr" w:cs="IRBadr"/>
          <w:sz w:val="28"/>
          <w:szCs w:val="28"/>
          <w:rtl/>
          <w:lang w:bidi="fa-IR"/>
        </w:rPr>
        <w:t>چند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دلیل می‌شود ابراهیم بن هاشم را توثیق کرد که بعضی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ما بود.</w:t>
      </w:r>
    </w:p>
    <w:p w:rsidR="009E484F" w:rsidRPr="00667212" w:rsidRDefault="009F6B33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سهل بن زیاد در سند اول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 و توثیق او دشواری دارد. در سند دوم ابراهیم بن هاشم وجود دارد که او نیز محل اختلاف است.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با آنچه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درگذشته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بیان کردیم مشخص شد که او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قابل توثیق است.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غیرازاین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اشکال که قابل پاسخ دادن است،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مانعی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دیگر برای پذیرش سندی این روایت وجود دارد و او ضریس است.</w:t>
      </w:r>
    </w:p>
    <w:p w:rsidR="009F6B33" w:rsidRPr="00667212" w:rsidRDefault="009F6B33" w:rsidP="00961F96">
      <w:pPr>
        <w:pStyle w:val="Heading2"/>
        <w:rPr>
          <w:rFonts w:ascii="IRBadr" w:hAnsi="IRBadr" w:cs="IRBadr"/>
          <w:rtl/>
        </w:rPr>
      </w:pPr>
      <w:bookmarkStart w:id="7" w:name="_Toc427371824"/>
      <w:r w:rsidRPr="00667212">
        <w:rPr>
          <w:rFonts w:ascii="IRBadr" w:hAnsi="IRBadr" w:cs="IRBadr"/>
          <w:rtl/>
        </w:rPr>
        <w:t>اتخاذ مبنا</w:t>
      </w:r>
      <w:bookmarkEnd w:id="7"/>
    </w:p>
    <w:p w:rsidR="009F6B33" w:rsidRPr="00667212" w:rsidRDefault="009F6B33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در برخی کتب رجالی توثیقاتی نسبت به او وجود دارد،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سند دوم نیز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9F6B33" w:rsidRPr="00667212" w:rsidRDefault="009F6B33" w:rsidP="00961F96">
      <w:pPr>
        <w:pStyle w:val="Heading2"/>
        <w:rPr>
          <w:rFonts w:ascii="IRBadr" w:hAnsi="IRBadr" w:cs="IRBadr"/>
          <w:rtl/>
        </w:rPr>
      </w:pPr>
      <w:bookmarkStart w:id="8" w:name="_Toc427371825"/>
      <w:r w:rsidRPr="00667212">
        <w:rPr>
          <w:rFonts w:ascii="IRBadr" w:hAnsi="IRBadr" w:cs="IRBadr"/>
          <w:rtl/>
        </w:rPr>
        <w:t>بررسی دلالی روایت</w:t>
      </w:r>
      <w:bookmarkEnd w:id="8"/>
    </w:p>
    <w:p w:rsidR="00871BDB" w:rsidRPr="00667212" w:rsidRDefault="00871BD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آنچه در روایت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 که تنها امام در حدودالله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عفو کند،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در حقوق الناس،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غیر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امام نیز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عفو نماید،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 برای کسی این سؤال پیش آید که آنچه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چه ربطی به حد قذف دارد؟</w:t>
      </w:r>
    </w:p>
    <w:p w:rsidR="00871BDB" w:rsidRPr="00667212" w:rsidRDefault="00871BD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پاسخ باید افزود؛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این روایت قاعده کلی را ذکر می‌کند و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به مصادیق ندارد.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گرچه روایت از اسمی از قذف نبرده است، ولی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>ما این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مسلم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قدر متیقن از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در حدود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حق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قذف است.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این جوابی است که ممکن است داده 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>شود. منتها جواب تام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ی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که در جای خود باید در قبال آن بحث گردد.</w:t>
      </w:r>
    </w:p>
    <w:p w:rsidR="00871BDB" w:rsidRPr="00667212" w:rsidRDefault="00871BDB" w:rsidP="00961F96">
      <w:pPr>
        <w:pStyle w:val="Heading2"/>
        <w:rPr>
          <w:rFonts w:ascii="IRBadr" w:hAnsi="IRBadr" w:cs="IRBadr"/>
          <w:rtl/>
        </w:rPr>
      </w:pPr>
      <w:bookmarkStart w:id="9" w:name="_Toc427371826"/>
      <w:r w:rsidRPr="00667212">
        <w:rPr>
          <w:rFonts w:ascii="IRBadr" w:hAnsi="IRBadr" w:cs="IRBadr"/>
          <w:rtl/>
        </w:rPr>
        <w:t>روایت دوم</w:t>
      </w:r>
      <w:bookmarkEnd w:id="9"/>
    </w:p>
    <w:p w:rsidR="00871BDB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دلیل دیگری که برای این بحث آمده است، در همین باب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حدیث سوم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صفحه چهارصد و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پنجاه‌وپنج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94552F" w:rsidRPr="00667212" w:rsidRDefault="0094552F" w:rsidP="00961F9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«الْحَسَنُ بْنُ مَحْبُوبٍ عَنْ أَبِ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وبَ عَنْ سَمَاعَةَ قَالَ: سَأَلْتُ أَبَا عَبْدِ اللَّهِ ع عَنْ رَجُلٍ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قْذِفُ الرَّجُلَ بِالزِّنَ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عْفُو عَنْهُ وَ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جْعَلُهُ مِنْ ذَلِ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حِلٍّ ثُمَّ إِنَّهُ بَعْدُ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بْدُو لَهُ فِ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أَنْ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قَدِّمَهُ حَتَّ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حَدَّ لَهُ قَالَ لَ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سَ لَهُ حَدٌّ بَعْدَ الْعَفْوِ.» </w:t>
      </w:r>
      <w:r w:rsidRPr="0066721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871BDB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مرد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>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دیگری را رمی به زنا می‌کند و بع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>د او را عفو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می‌کند. بعد از اینکه عفو کرد، تصمیم می‌گیرد که او را در معرض قرار بدهد و پیش حاکم 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 xml:space="preserve">بیاورد و اجرای حد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کند. امام فرمودند بعد از عفو دیگر رجوع جایز و نافذ نیست</w:t>
      </w:r>
      <w:r w:rsidR="00871BDB" w:rsidRPr="0066721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71BDB" w:rsidRPr="00667212" w:rsidRDefault="00871BDB" w:rsidP="00961F96">
      <w:pPr>
        <w:pStyle w:val="Heading2"/>
        <w:rPr>
          <w:rFonts w:ascii="IRBadr" w:hAnsi="IRBadr" w:cs="IRBadr"/>
          <w:rtl/>
        </w:rPr>
      </w:pPr>
      <w:bookmarkStart w:id="10" w:name="_Toc427371827"/>
      <w:r w:rsidRPr="00667212">
        <w:rPr>
          <w:rFonts w:ascii="IRBadr" w:hAnsi="IRBadr" w:cs="IRBadr"/>
          <w:rtl/>
        </w:rPr>
        <w:t>بررسی سندی روایت</w:t>
      </w:r>
      <w:bookmarkEnd w:id="10"/>
    </w:p>
    <w:p w:rsidR="00C2428A" w:rsidRPr="00667212" w:rsidRDefault="00871BD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در این روایت نیز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سندی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بحث‌هایی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وجود دارد،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سماعة بن مهران محل بحث است.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باب او نجاشی تا دو بار تعبیر به ثقه دارد،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از طرف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دیگرکسانی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هستند که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سماعه واقفی شده است یعنی بعد از امام کاظم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(ع)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متوقف شد و به امامت امام 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>رضا (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ع)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معتقد نشد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2428A" w:rsidRPr="00667212" w:rsidRDefault="00C2428A" w:rsidP="00961F96">
      <w:pPr>
        <w:pStyle w:val="Heading2"/>
        <w:rPr>
          <w:rFonts w:ascii="IRBadr" w:hAnsi="IRBadr" w:cs="IRBadr"/>
          <w:rtl/>
        </w:rPr>
      </w:pPr>
      <w:bookmarkStart w:id="11" w:name="_Toc427371828"/>
      <w:r w:rsidRPr="00667212">
        <w:rPr>
          <w:rFonts w:ascii="IRBadr" w:hAnsi="IRBadr" w:cs="IRBadr"/>
          <w:rtl/>
        </w:rPr>
        <w:t>اقوال در سماعه</w:t>
      </w:r>
      <w:bookmarkEnd w:id="11"/>
    </w:p>
    <w:p w:rsidR="00C2428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همین مطلب موجب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شده که در سماعه دو قول داده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شود، بعضی به همان ثقه نجاشی اعتماد کردند و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مشکلی ندارد. بعضی هم مسئله وقفش را به میان کشیدند و به دلیل وقف قائل شدند که نمی‌شود به روایاتش اعتماد کرد.</w:t>
      </w:r>
    </w:p>
    <w:p w:rsidR="00C2428A" w:rsidRPr="00667212" w:rsidRDefault="00C2428A" w:rsidP="00961F96">
      <w:pPr>
        <w:pStyle w:val="Heading2"/>
        <w:rPr>
          <w:rFonts w:ascii="IRBadr" w:hAnsi="IRBadr" w:cs="IRBadr"/>
          <w:rtl/>
        </w:rPr>
      </w:pPr>
      <w:bookmarkStart w:id="12" w:name="_Toc427371829"/>
      <w:r w:rsidRPr="00667212">
        <w:rPr>
          <w:rFonts w:ascii="IRBadr" w:hAnsi="IRBadr" w:cs="IRBadr"/>
          <w:rtl/>
        </w:rPr>
        <w:lastRenderedPageBreak/>
        <w:t>کفایت شرط عدالت</w:t>
      </w:r>
      <w:bookmarkEnd w:id="12"/>
    </w:p>
    <w:p w:rsidR="00C2428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در اینجا اختلافی بوده است که آیا در اعتماد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به رجال روایات، عدالت شرط است یا صرف وثوق کافی است؟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کسانی بودند که می‌گفتند شخص باید عادل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امامی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و موثق باشد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تا بشود به روایت او عمل کرد. این قولی بود که بعضی بر آن تأکید داشتند، ولی معمولاً از متأخرین کسی این را قبول ندارد.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وثوق خبری کافی است.</w:t>
      </w:r>
    </w:p>
    <w:p w:rsidR="00C2428A" w:rsidRPr="00667212" w:rsidRDefault="00C2428A" w:rsidP="00961F96">
      <w:pPr>
        <w:pStyle w:val="Heading2"/>
        <w:rPr>
          <w:rFonts w:ascii="IRBadr" w:hAnsi="IRBadr" w:cs="IRBadr"/>
          <w:rtl/>
        </w:rPr>
      </w:pPr>
      <w:bookmarkStart w:id="13" w:name="_Toc427371830"/>
      <w:r w:rsidRPr="00667212">
        <w:rPr>
          <w:rFonts w:ascii="IRBadr" w:hAnsi="IRBadr" w:cs="IRBadr"/>
          <w:rtl/>
        </w:rPr>
        <w:t>اتخاذ مبنا</w:t>
      </w:r>
      <w:bookmarkEnd w:id="13"/>
    </w:p>
    <w:p w:rsidR="00C2428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بنابراین وثوق خبری کافی است و لازم نیست شخص امامی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عادل باشد و به هیچ معنا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انحراف عقیده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نداشته باشد.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چراکه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ممکن است سنی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یا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ممکن است واقفی باشد، ولی به لحاظ خبری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فردی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باشد که اخبار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او فاقد مانعی بوده باشد.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دانست که فرق است میان کسی که ائمه او را لعن یا از نقل حدیث منع کردند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باکسی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که انحرافی در عقیده او وجود دارد.</w:t>
      </w:r>
    </w:p>
    <w:p w:rsidR="00C2428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بنابراین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یک‌جهت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 که صرف وقف مانع نیست.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جهت دیگری است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که اصلاً وقف او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ثابت‌شده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یا نشده است؟ این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هم‌محل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اختلاف است که اگر به تنقیه و معجم و کتاب‌های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دیگر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مراجعه کنید، می‌بینید اختلافی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نیز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راجع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اصل واقفی بودنش 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وجود دارد که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بعضی وقف او را قبول ندارند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2428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مرحوم آقای خویی ایشان را ثقه می‌دانند لذا در تعبیرشان این است که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موثق‌هاست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. ولی بعضی مثل آقای فاضل صریح این را نپذیرفتند.</w:t>
      </w:r>
    </w:p>
    <w:p w:rsidR="00C2428A" w:rsidRPr="00667212" w:rsidRDefault="00C2428A" w:rsidP="00961F96">
      <w:pPr>
        <w:pStyle w:val="Heading2"/>
        <w:rPr>
          <w:rFonts w:ascii="IRBadr" w:hAnsi="IRBadr" w:cs="IRBadr"/>
          <w:rtl/>
        </w:rPr>
      </w:pPr>
      <w:bookmarkStart w:id="14" w:name="_Toc427371831"/>
      <w:r w:rsidRPr="00667212">
        <w:rPr>
          <w:rFonts w:ascii="IRBadr" w:hAnsi="IRBadr" w:cs="IRBadr"/>
          <w:rtl/>
        </w:rPr>
        <w:t>اتخاذ مبنا</w:t>
      </w:r>
      <w:bookmarkEnd w:id="14"/>
    </w:p>
    <w:p w:rsidR="00C2428A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ولی به نظر می‌آید که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است و مشکلی</w:t>
      </w:r>
      <w:r w:rsidR="00C2428A" w:rsidRPr="00667212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C2428A" w:rsidRPr="00667212" w:rsidRDefault="00C2428A" w:rsidP="00961F96">
      <w:pPr>
        <w:pStyle w:val="Heading2"/>
        <w:rPr>
          <w:rFonts w:ascii="IRBadr" w:hAnsi="IRBadr" w:cs="IRBadr"/>
          <w:rtl/>
        </w:rPr>
      </w:pPr>
      <w:bookmarkStart w:id="15" w:name="_Toc427371832"/>
      <w:r w:rsidRPr="00667212">
        <w:rPr>
          <w:rFonts w:ascii="IRBadr" w:hAnsi="IRBadr" w:cs="IRBadr"/>
          <w:rtl/>
        </w:rPr>
        <w:t>بررسی دلالی روایت</w:t>
      </w:r>
      <w:bookmarkEnd w:id="15"/>
    </w:p>
    <w:p w:rsidR="00401D27" w:rsidRPr="00667212" w:rsidRDefault="00C2428A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روایت فوق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دلالت می‌کند که عفو مسقط حد قذف است. در اصل دلالتش نباید اشکالی باشد.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 اما در قبال اطلاق آن مانعی وجود دارد،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1D1CEB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روایت در مقام بیان اصل حکم نیست و </w:t>
      </w:r>
      <w:r w:rsidR="00667212">
        <w:rPr>
          <w:rFonts w:ascii="IRBadr" w:hAnsi="IRBadr" w:cs="IRBadr" w:hint="cs"/>
          <w:sz w:val="28"/>
          <w:szCs w:val="28"/>
          <w:rtl/>
          <w:lang w:bidi="fa-IR"/>
        </w:rPr>
        <w:t>ل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>ازمه اخذ به اطلاق در مقام بیان بودن است.</w:t>
      </w:r>
    </w:p>
    <w:p w:rsidR="00401D27" w:rsidRPr="00667212" w:rsidRDefault="00401D27" w:rsidP="00961F96">
      <w:pPr>
        <w:pStyle w:val="Heading2"/>
        <w:rPr>
          <w:rFonts w:ascii="IRBadr" w:hAnsi="IRBadr" w:cs="IRBadr"/>
          <w:rtl/>
        </w:rPr>
      </w:pPr>
      <w:bookmarkStart w:id="16" w:name="_Toc427371833"/>
      <w:r w:rsidRPr="00667212">
        <w:rPr>
          <w:rFonts w:ascii="IRBadr" w:hAnsi="IRBadr" w:cs="IRBadr"/>
          <w:rtl/>
        </w:rPr>
        <w:lastRenderedPageBreak/>
        <w:t>روایت سوم</w:t>
      </w:r>
      <w:bookmarkEnd w:id="16"/>
    </w:p>
    <w:p w:rsidR="00401D27" w:rsidRPr="00667212" w:rsidRDefault="00401D27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روایت سوم در باب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بیست‌ویک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، حدیث اول است؛</w:t>
      </w:r>
    </w:p>
    <w:p w:rsidR="0094552F" w:rsidRPr="00667212" w:rsidRDefault="0094552F" w:rsidP="00961F9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أَحْمَدَ بْنِ مُحَمَّدِ بْنِ عِ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الْحُسَ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سَعِ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عَنْ أَخِ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الْحَسَنِ عَنْ زُرْعَةَ بْنِ مُحَمَّدٍ عَنْ سَمَاعَةَ بْنِ مِهْرَانَ عَنْ أَبِ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سَأَلْتُهُ عَنِ الرَّجُلِ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فْتَرِ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الرَّجُلِ فَ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عْفُو عَنْهُ ثُمَّ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دُ أَنْ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جْلِدَهُ بَعْدَ الْعَفْوِ قَالَ لَ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سَ لَهُ أَنْ </w:t>
      </w:r>
      <w:r w:rsidR="001B7556"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6721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جْلِدَهُ بَعْدَ الْعَفْوِ.»</w:t>
      </w:r>
      <w:r w:rsidRPr="0066721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401D27" w:rsidRPr="00667212" w:rsidRDefault="00401D27" w:rsidP="00961F96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667212">
        <w:rPr>
          <w:rFonts w:ascii="IRBadr" w:hAnsi="IRBadr" w:cs="IRBadr"/>
          <w:sz w:val="28"/>
          <w:szCs w:val="28"/>
          <w:rtl/>
        </w:rPr>
        <w:t>همانند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 سؤال قبلی</w:t>
      </w:r>
      <w:r w:rsidRPr="00667212">
        <w:rPr>
          <w:rFonts w:ascii="IRBadr" w:hAnsi="IRBadr" w:cs="IRBadr"/>
          <w:sz w:val="28"/>
          <w:szCs w:val="28"/>
          <w:rtl/>
        </w:rPr>
        <w:t xml:space="preserve"> پرسیده شده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 است. حضرت فرمود </w:t>
      </w:r>
      <w:r w:rsidR="002A57D5" w:rsidRPr="00667212">
        <w:rPr>
          <w:rFonts w:ascii="IRBadr" w:hAnsi="IRBadr" w:cs="IRBadr"/>
          <w:sz w:val="28"/>
          <w:szCs w:val="28"/>
          <w:rtl/>
        </w:rPr>
        <w:t>بعدازاینکه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 او را عفو کرد، دیگر حق ندارد برگردد.</w:t>
      </w:r>
      <w:r w:rsidR="001B7556" w:rsidRPr="00667212">
        <w:rPr>
          <w:rFonts w:ascii="IRBadr" w:hAnsi="IRBadr" w:cs="IRBadr"/>
          <w:sz w:val="28"/>
          <w:szCs w:val="28"/>
          <w:rtl/>
        </w:rPr>
        <w:t xml:space="preserve"> </w:t>
      </w:r>
      <w:r w:rsidR="001D1CEB" w:rsidRPr="00667212">
        <w:rPr>
          <w:rFonts w:ascii="IRBadr" w:hAnsi="IRBadr" w:cs="IRBadr"/>
          <w:sz w:val="28"/>
          <w:szCs w:val="28"/>
          <w:rtl/>
        </w:rPr>
        <w:t>منتها</w:t>
      </w:r>
      <w:r w:rsidRPr="00667212">
        <w:rPr>
          <w:rFonts w:ascii="IRBadr" w:hAnsi="IRBadr" w:cs="IRBadr"/>
          <w:sz w:val="28"/>
          <w:szCs w:val="28"/>
          <w:rtl/>
        </w:rPr>
        <w:t xml:space="preserve"> در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 این روایت بحثی </w:t>
      </w:r>
      <w:r w:rsidRPr="00667212">
        <w:rPr>
          <w:rFonts w:ascii="IRBadr" w:hAnsi="IRBadr" w:cs="IRBadr"/>
          <w:sz w:val="28"/>
          <w:szCs w:val="28"/>
          <w:rtl/>
        </w:rPr>
        <w:t xml:space="preserve">وجود دارد که 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با روایت قبلی یکی است. علتش این است که راوی سماعه </w:t>
      </w:r>
      <w:r w:rsidRPr="00667212">
        <w:rPr>
          <w:rFonts w:ascii="IRBadr" w:hAnsi="IRBadr" w:cs="IRBadr"/>
          <w:sz w:val="28"/>
          <w:szCs w:val="28"/>
          <w:rtl/>
        </w:rPr>
        <w:t>و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 مروی عنه هم امام </w:t>
      </w:r>
      <w:r w:rsidR="001B7556" w:rsidRPr="00667212">
        <w:rPr>
          <w:rFonts w:ascii="IRBadr" w:hAnsi="IRBadr" w:cs="IRBadr"/>
          <w:sz w:val="28"/>
          <w:szCs w:val="28"/>
          <w:rtl/>
        </w:rPr>
        <w:t>صادق (</w:t>
      </w:r>
      <w:r w:rsidRPr="00667212">
        <w:rPr>
          <w:rFonts w:ascii="IRBadr" w:hAnsi="IRBadr" w:cs="IRBadr"/>
          <w:sz w:val="28"/>
          <w:szCs w:val="28"/>
          <w:rtl/>
        </w:rPr>
        <w:t>ع)</w:t>
      </w:r>
      <w:r w:rsidR="001D1CEB" w:rsidRPr="00667212">
        <w:rPr>
          <w:rFonts w:ascii="IRBadr" w:hAnsi="IRBadr" w:cs="IRBadr"/>
          <w:sz w:val="28"/>
          <w:szCs w:val="28"/>
          <w:rtl/>
        </w:rPr>
        <w:t xml:space="preserve"> است. </w:t>
      </w:r>
      <w:r w:rsidRPr="00667212">
        <w:rPr>
          <w:rFonts w:ascii="IRBadr" w:hAnsi="IRBadr" w:cs="IRBadr"/>
          <w:sz w:val="28"/>
          <w:szCs w:val="28"/>
          <w:rtl/>
        </w:rPr>
        <w:t xml:space="preserve">موضوع مشترک بوده و تنها عبارات </w:t>
      </w:r>
      <w:r w:rsidR="00EA1605" w:rsidRPr="00667212">
        <w:rPr>
          <w:rFonts w:ascii="IRBadr" w:hAnsi="IRBadr" w:cs="IRBadr"/>
          <w:sz w:val="28"/>
          <w:szCs w:val="28"/>
          <w:rtl/>
        </w:rPr>
        <w:t>تفاوتتی</w:t>
      </w:r>
      <w:r w:rsidRPr="00667212">
        <w:rPr>
          <w:rFonts w:ascii="IRBadr" w:hAnsi="IRBadr" w:cs="IRBadr"/>
          <w:sz w:val="28"/>
          <w:szCs w:val="28"/>
          <w:rtl/>
        </w:rPr>
        <w:t xml:space="preserve"> دارد.</w:t>
      </w:r>
    </w:p>
    <w:p w:rsidR="00401D27" w:rsidRPr="00667212" w:rsidRDefault="00401D27" w:rsidP="00961F96">
      <w:pPr>
        <w:pStyle w:val="Heading2"/>
        <w:rPr>
          <w:rFonts w:ascii="IRBadr" w:hAnsi="IRBadr" w:cs="IRBadr"/>
          <w:rtl/>
        </w:rPr>
      </w:pPr>
      <w:bookmarkStart w:id="17" w:name="_Toc427371834"/>
      <w:r w:rsidRPr="00667212">
        <w:rPr>
          <w:rFonts w:ascii="IRBadr" w:hAnsi="IRBadr" w:cs="IRBadr"/>
          <w:rtl/>
        </w:rPr>
        <w:t>اتخاذ مبنا</w:t>
      </w:r>
      <w:bookmarkEnd w:id="17"/>
    </w:p>
    <w:p w:rsidR="00401D27" w:rsidRPr="00667212" w:rsidRDefault="00401D27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>ظاهر امر نیز این بوده که این دو روایت در حقیقت یک روایت است.</w:t>
      </w:r>
    </w:p>
    <w:p w:rsidR="00401D27" w:rsidRPr="00667212" w:rsidRDefault="00401D27" w:rsidP="00961F96">
      <w:pPr>
        <w:pStyle w:val="Heading3"/>
        <w:rPr>
          <w:rFonts w:ascii="IRBadr" w:hAnsi="IRBadr" w:cs="IRBadr"/>
          <w:rtl/>
        </w:rPr>
      </w:pPr>
      <w:bookmarkStart w:id="18" w:name="_Toc427371835"/>
      <w:r w:rsidRPr="00667212">
        <w:rPr>
          <w:rFonts w:ascii="IRBadr" w:hAnsi="IRBadr" w:cs="IRBadr"/>
          <w:rtl/>
        </w:rPr>
        <w:t>مراد از رفع به حاکم</w:t>
      </w:r>
      <w:bookmarkEnd w:id="18"/>
    </w:p>
    <w:p w:rsidR="00401D27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باید دید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منظور از رفع به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حاکم صرف طرح دعوا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ست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>یا ثبوت عند الحاکم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1D1CEB" w:rsidRPr="00667212" w:rsidRDefault="001D1CEB" w:rsidP="00961F9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ذهن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بیشتر به ثبوت عند الحاکم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>انصراف دارد مثل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زمانی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که پیش حاکم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حاضر شدند 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و طرح دعوا شده است.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در اینجا دو قول است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66721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مشهور </w:t>
      </w:r>
      <w:r w:rsidR="00EA1605" w:rsidRPr="00667212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 فرقی بین این حالات نیست؛</w:t>
      </w:r>
      <w:r w:rsidR="001B7556" w:rsidRPr="00667212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401D27" w:rsidRPr="00667212">
        <w:rPr>
          <w:rFonts w:ascii="IRBadr" w:hAnsi="IRBadr" w:cs="IRBadr"/>
          <w:sz w:val="28"/>
          <w:szCs w:val="28"/>
          <w:rtl/>
          <w:lang w:bidi="fa-IR"/>
        </w:rPr>
        <w:t xml:space="preserve"> قبل از مرافعه و چه بعد از مرافعه باشد.</w:t>
      </w:r>
    </w:p>
    <w:p w:rsidR="00152670" w:rsidRPr="00667212" w:rsidRDefault="00152670" w:rsidP="00961F96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667212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4A" w:rsidRDefault="0074324A" w:rsidP="000D5800">
      <w:pPr>
        <w:spacing w:after="0" w:line="240" w:lineRule="auto"/>
      </w:pPr>
      <w:r>
        <w:separator/>
      </w:r>
    </w:p>
  </w:endnote>
  <w:endnote w:type="continuationSeparator" w:id="0">
    <w:p w:rsidR="0074324A" w:rsidRDefault="0074324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4A" w:rsidRDefault="0074324A" w:rsidP="00CA0BF5">
      <w:pPr>
        <w:bidi/>
        <w:spacing w:after="0" w:line="240" w:lineRule="auto"/>
      </w:pPr>
      <w:r>
        <w:separator/>
      </w:r>
    </w:p>
  </w:footnote>
  <w:footnote w:type="continuationSeparator" w:id="0">
    <w:p w:rsidR="0074324A" w:rsidRDefault="0074324A" w:rsidP="000D5800">
      <w:pPr>
        <w:spacing w:after="0" w:line="240" w:lineRule="auto"/>
      </w:pPr>
      <w:r>
        <w:continuationSeparator/>
      </w:r>
    </w:p>
  </w:footnote>
  <w:footnote w:id="1">
    <w:p w:rsidR="0083786A" w:rsidRDefault="0083786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3786A">
        <w:rPr>
          <w:rFonts w:ascii="Noor_Titr" w:hAnsi="Noor_Titr" w:cs="B Badr" w:hint="cs"/>
          <w:color w:val="000000" w:themeColor="text1"/>
          <w:rtl/>
        </w:rPr>
        <w:t xml:space="preserve">من لا </w:t>
      </w:r>
      <w:r w:rsidR="001B7556">
        <w:rPr>
          <w:rFonts w:ascii="Noor_Titr" w:hAnsi="Noor_Titr" w:cs="B Badr" w:hint="cs"/>
          <w:color w:val="000000" w:themeColor="text1"/>
          <w:rtl/>
        </w:rPr>
        <w:t>ی</w:t>
      </w:r>
      <w:r w:rsidRPr="0083786A">
        <w:rPr>
          <w:rFonts w:ascii="Noor_Titr" w:hAnsi="Noor_Titr" w:cs="B Badr" w:hint="cs"/>
          <w:color w:val="000000" w:themeColor="text1"/>
          <w:rtl/>
        </w:rPr>
        <w:t>حضره الفق</w:t>
      </w:r>
      <w:r w:rsidR="001B7556">
        <w:rPr>
          <w:rFonts w:ascii="Noor_Titr" w:hAnsi="Noor_Titr" w:cs="B Badr" w:hint="cs"/>
          <w:color w:val="000000" w:themeColor="text1"/>
          <w:rtl/>
        </w:rPr>
        <w:t>ی</w:t>
      </w:r>
      <w:r w:rsidRPr="0083786A">
        <w:rPr>
          <w:rFonts w:ascii="Noor_Titr" w:hAnsi="Noor_Titr" w:cs="B Badr" w:hint="cs"/>
          <w:color w:val="000000" w:themeColor="text1"/>
          <w:rtl/>
        </w:rPr>
        <w:t xml:space="preserve">ه؛ </w:t>
      </w:r>
      <w:r w:rsidR="001B7556">
        <w:rPr>
          <w:rFonts w:ascii="Noor_Titr" w:hAnsi="Noor_Titr" w:cs="B Badr"/>
          <w:color w:val="000000" w:themeColor="text1"/>
          <w:rtl/>
        </w:rPr>
        <w:t>ج 4</w:t>
      </w:r>
      <w:r w:rsidRPr="0083786A">
        <w:rPr>
          <w:rFonts w:ascii="Noor_Titr" w:hAnsi="Noor_Titr" w:cs="B Badr" w:hint="cs"/>
          <w:color w:val="000000" w:themeColor="text1"/>
          <w:rtl/>
        </w:rPr>
        <w:t>، ص: 73</w:t>
      </w:r>
    </w:p>
  </w:footnote>
  <w:footnote w:id="2">
    <w:p w:rsidR="0094552F" w:rsidRDefault="009455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Noor_Titr" w:hAnsi="Noor_Titr" w:cs="B Badr" w:hint="cs"/>
          <w:color w:val="000000" w:themeColor="text1"/>
          <w:rtl/>
        </w:rPr>
        <w:t>ا</w:t>
      </w:r>
      <w:r w:rsidRPr="0094552F">
        <w:rPr>
          <w:rFonts w:ascii="Noor_Titr" w:hAnsi="Noor_Titr" w:cs="B Badr" w:hint="cs"/>
          <w:color w:val="000000" w:themeColor="text1"/>
          <w:rtl/>
        </w:rPr>
        <w:t>لاستبصار ف</w:t>
      </w:r>
      <w:r w:rsidR="001B7556">
        <w:rPr>
          <w:rFonts w:ascii="Noor_Titr" w:hAnsi="Noor_Titr" w:cs="B Badr" w:hint="cs"/>
          <w:color w:val="000000" w:themeColor="text1"/>
          <w:rtl/>
        </w:rPr>
        <w:t>ی</w:t>
      </w:r>
      <w:r w:rsidRPr="0094552F"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1B7556">
        <w:rPr>
          <w:rFonts w:ascii="Noor_Titr" w:hAnsi="Noor_Titr" w:cs="B Badr"/>
          <w:color w:val="000000" w:themeColor="text1"/>
          <w:rtl/>
        </w:rPr>
        <w:t>ج 4</w:t>
      </w:r>
      <w:r w:rsidRPr="0094552F">
        <w:rPr>
          <w:rFonts w:ascii="Noor_Titr" w:hAnsi="Noor_Titr" w:cs="B Badr" w:hint="cs"/>
          <w:color w:val="000000" w:themeColor="text1"/>
          <w:rtl/>
        </w:rPr>
        <w:t>، ص: 232</w:t>
      </w:r>
    </w:p>
  </w:footnote>
  <w:footnote w:id="3">
    <w:p w:rsidR="0094552F" w:rsidRDefault="0094552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4552F">
        <w:rPr>
          <w:rFonts w:ascii="Noor_Titr" w:hAnsi="Noor_Titr" w:cs="B Badr" w:hint="cs"/>
          <w:color w:val="000000" w:themeColor="text1"/>
          <w:rtl/>
        </w:rPr>
        <w:t>ال</w:t>
      </w:r>
      <w:r w:rsidR="001B7556">
        <w:rPr>
          <w:rFonts w:ascii="Noor_Titr" w:hAnsi="Noor_Titr" w:cs="B Badr" w:hint="cs"/>
          <w:color w:val="000000" w:themeColor="text1"/>
          <w:rtl/>
        </w:rPr>
        <w:t>ک</w:t>
      </w:r>
      <w:r w:rsidRPr="0094552F">
        <w:rPr>
          <w:rFonts w:ascii="Noor_Titr" w:hAnsi="Noor_Titr" w:cs="B Badr" w:hint="cs"/>
          <w:color w:val="000000" w:themeColor="text1"/>
          <w:rtl/>
        </w:rPr>
        <w:t>اف</w:t>
      </w:r>
      <w:r w:rsidR="001B7556">
        <w:rPr>
          <w:rFonts w:ascii="Noor_Titr" w:hAnsi="Noor_Titr" w:cs="B Badr" w:hint="cs"/>
          <w:color w:val="000000" w:themeColor="text1"/>
          <w:rtl/>
        </w:rPr>
        <w:t>ی</w:t>
      </w:r>
      <w:r w:rsidRPr="0094552F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1B7556">
        <w:rPr>
          <w:rFonts w:ascii="Noor_Titr" w:hAnsi="Noor_Titr" w:cs="B Badr" w:hint="cs"/>
          <w:color w:val="000000" w:themeColor="text1"/>
          <w:rtl/>
        </w:rPr>
        <w:t>ی</w:t>
      </w:r>
      <w:r w:rsidRPr="0094552F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1B7556">
        <w:rPr>
          <w:rFonts w:ascii="Noor_Titr" w:hAnsi="Noor_Titr" w:cs="B Badr"/>
          <w:color w:val="000000" w:themeColor="text1"/>
          <w:rtl/>
        </w:rPr>
        <w:t>ج 7</w:t>
      </w:r>
      <w:r w:rsidRPr="0094552F">
        <w:rPr>
          <w:rFonts w:ascii="Noor_Titr" w:hAnsi="Noor_Titr" w:cs="B Badr" w:hint="cs"/>
          <w:color w:val="000000" w:themeColor="text1"/>
          <w:rtl/>
        </w:rPr>
        <w:t>، ص: 253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D1CEB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2C93786" wp14:editId="2C64126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  <w:lang w:bidi="fa-IR"/>
      </w:rPr>
      <w:drawing>
        <wp:inline distT="0" distB="0" distL="0" distR="0" wp14:anchorId="1623DE74" wp14:editId="7919CF7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="001B755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D1CEB">
      <w:rPr>
        <w:rFonts w:ascii="IranNastaliq" w:hAnsi="IranNastaliq" w:cs="IranNastaliq" w:hint="cs"/>
        <w:sz w:val="40"/>
        <w:szCs w:val="40"/>
        <w:rtl/>
      </w:rPr>
      <w:t>807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EB"/>
    <w:rsid w:val="000228A2"/>
    <w:rsid w:val="000324F1"/>
    <w:rsid w:val="00036888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15F1"/>
    <w:rsid w:val="00152670"/>
    <w:rsid w:val="00166DD8"/>
    <w:rsid w:val="001712D6"/>
    <w:rsid w:val="001757C8"/>
    <w:rsid w:val="00177934"/>
    <w:rsid w:val="00192A6A"/>
    <w:rsid w:val="00197CDD"/>
    <w:rsid w:val="001A11C7"/>
    <w:rsid w:val="001B7556"/>
    <w:rsid w:val="001B7A6D"/>
    <w:rsid w:val="001C367D"/>
    <w:rsid w:val="001D1CEB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57D5"/>
    <w:rsid w:val="002C56FD"/>
    <w:rsid w:val="002D4872"/>
    <w:rsid w:val="002D495F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1D27"/>
    <w:rsid w:val="00405199"/>
    <w:rsid w:val="00410699"/>
    <w:rsid w:val="00415360"/>
    <w:rsid w:val="00433CDA"/>
    <w:rsid w:val="0044591E"/>
    <w:rsid w:val="004651D2"/>
    <w:rsid w:val="00465D26"/>
    <w:rsid w:val="004679F8"/>
    <w:rsid w:val="00476A48"/>
    <w:rsid w:val="004B337F"/>
    <w:rsid w:val="004F3596"/>
    <w:rsid w:val="00512A06"/>
    <w:rsid w:val="00572E2D"/>
    <w:rsid w:val="00592103"/>
    <w:rsid w:val="005941DD"/>
    <w:rsid w:val="005A545E"/>
    <w:rsid w:val="005A5862"/>
    <w:rsid w:val="005B0852"/>
    <w:rsid w:val="005C06AE"/>
    <w:rsid w:val="005E07CF"/>
    <w:rsid w:val="005F34B5"/>
    <w:rsid w:val="00610C18"/>
    <w:rsid w:val="00612385"/>
    <w:rsid w:val="0061376C"/>
    <w:rsid w:val="00636EFA"/>
    <w:rsid w:val="0066229C"/>
    <w:rsid w:val="00667212"/>
    <w:rsid w:val="0069696C"/>
    <w:rsid w:val="006A085A"/>
    <w:rsid w:val="006D3A87"/>
    <w:rsid w:val="006F01B4"/>
    <w:rsid w:val="00734D59"/>
    <w:rsid w:val="0073609B"/>
    <w:rsid w:val="0074324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786A"/>
    <w:rsid w:val="008407A4"/>
    <w:rsid w:val="00841243"/>
    <w:rsid w:val="00844860"/>
    <w:rsid w:val="00845CC4"/>
    <w:rsid w:val="00850A15"/>
    <w:rsid w:val="008644F4"/>
    <w:rsid w:val="00871BDB"/>
    <w:rsid w:val="00883733"/>
    <w:rsid w:val="008965D2"/>
    <w:rsid w:val="008A236D"/>
    <w:rsid w:val="008B565A"/>
    <w:rsid w:val="008C3414"/>
    <w:rsid w:val="008D17B1"/>
    <w:rsid w:val="008D36D5"/>
    <w:rsid w:val="008E3903"/>
    <w:rsid w:val="008F63E3"/>
    <w:rsid w:val="00913C3B"/>
    <w:rsid w:val="00915509"/>
    <w:rsid w:val="00924346"/>
    <w:rsid w:val="00927388"/>
    <w:rsid w:val="009274FE"/>
    <w:rsid w:val="009401AC"/>
    <w:rsid w:val="0094552F"/>
    <w:rsid w:val="009613AC"/>
    <w:rsid w:val="00961F96"/>
    <w:rsid w:val="00980643"/>
    <w:rsid w:val="009B46BC"/>
    <w:rsid w:val="009B61C3"/>
    <w:rsid w:val="009C7B4F"/>
    <w:rsid w:val="009D510C"/>
    <w:rsid w:val="009E484F"/>
    <w:rsid w:val="009F4EB3"/>
    <w:rsid w:val="009F6B33"/>
    <w:rsid w:val="009F79C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73724"/>
    <w:rsid w:val="00BB5F7E"/>
    <w:rsid w:val="00BC26F6"/>
    <w:rsid w:val="00BC4833"/>
    <w:rsid w:val="00BD29B0"/>
    <w:rsid w:val="00BD3122"/>
    <w:rsid w:val="00BD40DA"/>
    <w:rsid w:val="00BF3D67"/>
    <w:rsid w:val="00C160AF"/>
    <w:rsid w:val="00C22299"/>
    <w:rsid w:val="00C2428A"/>
    <w:rsid w:val="00C25609"/>
    <w:rsid w:val="00C262D7"/>
    <w:rsid w:val="00C26607"/>
    <w:rsid w:val="00C60D75"/>
    <w:rsid w:val="00C64CEA"/>
    <w:rsid w:val="00C73012"/>
    <w:rsid w:val="00C73B44"/>
    <w:rsid w:val="00C763DD"/>
    <w:rsid w:val="00C84FC0"/>
    <w:rsid w:val="00C9244A"/>
    <w:rsid w:val="00CA0BF5"/>
    <w:rsid w:val="00CB5DA3"/>
    <w:rsid w:val="00CE31E6"/>
    <w:rsid w:val="00CE3B74"/>
    <w:rsid w:val="00CF42E2"/>
    <w:rsid w:val="00CF7916"/>
    <w:rsid w:val="00D158F3"/>
    <w:rsid w:val="00D216D8"/>
    <w:rsid w:val="00D3665C"/>
    <w:rsid w:val="00D41F88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1605"/>
    <w:rsid w:val="00EA5D97"/>
    <w:rsid w:val="00EC4393"/>
    <w:rsid w:val="00EE1C07"/>
    <w:rsid w:val="00EE2C91"/>
    <w:rsid w:val="00EE3979"/>
    <w:rsid w:val="00EF138C"/>
    <w:rsid w:val="00F034CE"/>
    <w:rsid w:val="00F10A0F"/>
    <w:rsid w:val="00F13756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D1C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378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D1C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378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FBCC-1C4F-4D40-987A-85ACA3FB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413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اکبریان</cp:lastModifiedBy>
  <cp:revision>6</cp:revision>
  <dcterms:created xsi:type="dcterms:W3CDTF">2014-12-22T03:56:00Z</dcterms:created>
  <dcterms:modified xsi:type="dcterms:W3CDTF">2015-07-27T17:00:00Z</dcterms:modified>
</cp:coreProperties>
</file>