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CF" w:rsidRDefault="00ED1E1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D4772C" w:rsidRDefault="00D4772C" w:rsidP="00D4772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D4772C" w:rsidRDefault="00D4772C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6026444" w:history="1">
        <w:r w:rsidRPr="00CD6BCD">
          <w:rPr>
            <w:rStyle w:val="Hyperlink"/>
            <w:rFonts w:ascii="IRBadr" w:hAnsi="IRBadr" w:cs="IRBadr" w:hint="eastAsia"/>
            <w:noProof/>
            <w:rtl/>
          </w:rPr>
          <w:t>مسقطات</w:t>
        </w:r>
        <w:r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D6BCD">
          <w:rPr>
            <w:rStyle w:val="Hyperlink"/>
            <w:rFonts w:ascii="IRBadr" w:hAnsi="IRBadr" w:cs="IRBadr" w:hint="eastAsia"/>
            <w:noProof/>
            <w:rtl/>
          </w:rPr>
          <w:t>قذف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_Toc426026444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45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سابق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_Toc426026445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1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46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مباحث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رجال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سابق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_Toc426026446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2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47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_Toc426026447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2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48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اشکال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_Toc426026448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2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49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دلالت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_Toc426026449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2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50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بند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_Toc426026450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3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51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تفاس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مرافعه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_Toc426026451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3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52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تفس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_Toc426026452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3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53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تفس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_Toc426026453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4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54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بند</w:t>
        </w:r>
        <w:r w:rsidR="00D4772C" w:rsidRPr="00CD6BCD">
          <w:rPr>
            <w:rStyle w:val="Hyperlink"/>
            <w:rFonts w:ascii="IRBadr" w:hAnsi="IRBadr" w:cs="IRBadr" w:hint="cs"/>
            <w:noProof/>
            <w:rtl/>
          </w:rPr>
          <w:t>ی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_Toc426026454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4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6026455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اتخاذمبنا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_Toc426026455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4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6026456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بازگشت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عفو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_Toc426026456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4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Default="0041002B" w:rsidP="00D4772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6026457" w:history="1"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="00D4772C" w:rsidRPr="00CD6BC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772C" w:rsidRPr="00CD6BCD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D4772C">
          <w:rPr>
            <w:noProof/>
            <w:webHidden/>
          </w:rPr>
          <w:tab/>
        </w:r>
        <w:r w:rsidR="00D4772C">
          <w:rPr>
            <w:rStyle w:val="Hyperlink"/>
            <w:noProof/>
            <w:rtl/>
          </w:rPr>
          <w:fldChar w:fldCharType="begin"/>
        </w:r>
        <w:r w:rsidR="00D4772C">
          <w:rPr>
            <w:noProof/>
            <w:webHidden/>
          </w:rPr>
          <w:instrText xml:space="preserve"> PAGEREF _Toc426026457 \h </w:instrText>
        </w:r>
        <w:r w:rsidR="00D4772C">
          <w:rPr>
            <w:rStyle w:val="Hyperlink"/>
            <w:noProof/>
            <w:rtl/>
          </w:rPr>
        </w:r>
        <w:r w:rsidR="00D4772C">
          <w:rPr>
            <w:rStyle w:val="Hyperlink"/>
            <w:noProof/>
            <w:rtl/>
          </w:rPr>
          <w:fldChar w:fldCharType="separate"/>
        </w:r>
        <w:r w:rsidR="00D4772C">
          <w:rPr>
            <w:noProof/>
            <w:webHidden/>
          </w:rPr>
          <w:t>5</w:t>
        </w:r>
        <w:r w:rsidR="00D4772C">
          <w:rPr>
            <w:rStyle w:val="Hyperlink"/>
            <w:noProof/>
            <w:rtl/>
          </w:rPr>
          <w:fldChar w:fldCharType="end"/>
        </w:r>
      </w:hyperlink>
    </w:p>
    <w:p w:rsidR="00D4772C" w:rsidRPr="00D4772C" w:rsidRDefault="00D4772C" w:rsidP="00D4772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06F19" w:rsidRPr="00D4772C" w:rsidRDefault="00306F19" w:rsidP="00BF04AF">
      <w:pPr>
        <w:pStyle w:val="Heading1"/>
        <w:rPr>
          <w:rFonts w:ascii="IRBadr" w:hAnsi="IRBadr" w:cs="IRBadr"/>
          <w:rtl/>
        </w:rPr>
      </w:pPr>
      <w:bookmarkStart w:id="1" w:name="_Toc426026444"/>
      <w:r w:rsidRPr="00D4772C">
        <w:rPr>
          <w:rFonts w:ascii="IRBadr" w:hAnsi="IRBadr" w:cs="IRBadr"/>
          <w:rtl/>
        </w:rPr>
        <w:lastRenderedPageBreak/>
        <w:t>مسقطات قذف</w:t>
      </w:r>
      <w:bookmarkEnd w:id="1"/>
    </w:p>
    <w:p w:rsidR="00306F19" w:rsidRPr="00D4772C" w:rsidRDefault="00306F19" w:rsidP="00BF04AF">
      <w:pPr>
        <w:pStyle w:val="Heading1"/>
        <w:rPr>
          <w:rFonts w:ascii="IRBadr" w:hAnsi="IRBadr" w:cs="IRBadr"/>
          <w:rtl/>
        </w:rPr>
      </w:pPr>
      <w:bookmarkStart w:id="2" w:name="_Toc426026445"/>
      <w:r w:rsidRPr="00D4772C">
        <w:rPr>
          <w:rFonts w:ascii="IRBadr" w:hAnsi="IRBadr" w:cs="IRBadr"/>
          <w:rtl/>
        </w:rPr>
        <w:t>مرور بحث سابق</w:t>
      </w:r>
      <w:bookmarkEnd w:id="2"/>
    </w:p>
    <w:p w:rsidR="00306F19" w:rsidRPr="00D4772C" w:rsidRDefault="00306F19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بحث در سومین مسقط از مسقطات حد قذف بود،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از ذکر ادله بیان شد که؛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اینجا چهار قول وجود دارد،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قول قائل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به‌تفص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شده بودند، یک تفصیل این بود که قبل از بردن مرافعه به نزد حاکم،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عفو ساقط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بعد از مرافعه، خیر.</w:t>
      </w:r>
    </w:p>
    <w:p w:rsidR="005E38B2" w:rsidRPr="00D4772C" w:rsidRDefault="005E38B2" w:rsidP="00BF04AF">
      <w:pPr>
        <w:pStyle w:val="Heading1"/>
        <w:rPr>
          <w:rFonts w:ascii="IRBadr" w:hAnsi="IRBadr" w:cs="IRBadr"/>
          <w:rtl/>
        </w:rPr>
      </w:pPr>
      <w:bookmarkStart w:id="3" w:name="_Toc426026446"/>
      <w:r w:rsidRPr="00D4772C">
        <w:rPr>
          <w:rFonts w:ascii="IRBadr" w:hAnsi="IRBadr" w:cs="IRBadr"/>
          <w:rtl/>
        </w:rPr>
        <w:t>مرور مباحث رجالی سابق</w:t>
      </w:r>
      <w:bookmarkEnd w:id="3"/>
    </w:p>
    <w:p w:rsidR="00306F19" w:rsidRPr="00D4772C" w:rsidRDefault="00306F19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بیان شد که برای این تفصیل مستنداتی وجود دارد،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سماعة بن مهران،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باب هفده ابواب مقدمات حدود، که گفته شد روایتی موثقه است.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دو موضوع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از طریق این روایت استدلال نمود.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قبال حمزة بن حمران،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مباحثی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بیان شد که؛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سندی دو مناقشه در روایت او وجود دارد،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؛ رجال قبلی موجود در سند معتبر و موثق هستند،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حمزة بن حمران که آخرین راوی است محل بحث و مناقشه است.</w:t>
      </w:r>
    </w:p>
    <w:p w:rsidR="00306F19" w:rsidRPr="00D4772C" w:rsidRDefault="00306F19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یعنی در کتب رجالی از جانب نجاشی و شیخ،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توثیقی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در قبال او ذکر نشده است.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میان توثیقات عامه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توثیقی برای او آورد چراکه او از رجال روایت ابن ابی عمیر بوده است. لکن در رجال کامل الزیارات نامی از او نیست،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در این بعد از بحث رجالی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به نحوی مفصل ذکر شد و گفتیم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قبول نداریم.</w:t>
      </w:r>
    </w:p>
    <w:p w:rsidR="00C53895" w:rsidRPr="00D4772C" w:rsidRDefault="00C53895" w:rsidP="00BF04AF">
      <w:pPr>
        <w:pStyle w:val="Heading1"/>
        <w:rPr>
          <w:rFonts w:ascii="IRBadr" w:hAnsi="IRBadr" w:cs="IRBadr"/>
          <w:rtl/>
        </w:rPr>
      </w:pPr>
      <w:bookmarkStart w:id="4" w:name="_Toc426026447"/>
      <w:r w:rsidRPr="00D4772C">
        <w:rPr>
          <w:rFonts w:ascii="IRBadr" w:hAnsi="IRBadr" w:cs="IRBadr"/>
          <w:rtl/>
        </w:rPr>
        <w:t>اتخاذ مبنا</w:t>
      </w:r>
      <w:bookmarkEnd w:id="4"/>
    </w:p>
    <w:p w:rsidR="00893A1D" w:rsidRPr="00D4772C" w:rsidRDefault="00306F19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این قول را پذیرفتیم که ابن ابی عمیر در مواردی که از کسی بلاواسطة نقل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توثیق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ابن</w:t>
      </w:r>
      <w:r w:rsidR="00893A1D" w:rsidRPr="00D4772C">
        <w:rPr>
          <w:rFonts w:ascii="IRBadr" w:hAnsi="IRBadr" w:cs="IRBadr"/>
          <w:sz w:val="28"/>
          <w:szCs w:val="28"/>
          <w:rtl/>
          <w:lang w:bidi="fa-IR"/>
        </w:rPr>
        <w:t xml:space="preserve"> ابی عمیر در چند مورد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893A1D" w:rsidRPr="00D4772C">
        <w:rPr>
          <w:rFonts w:ascii="IRBadr" w:hAnsi="IRBadr" w:cs="IRBadr"/>
          <w:sz w:val="28"/>
          <w:szCs w:val="28"/>
          <w:rtl/>
          <w:lang w:bidi="fa-IR"/>
        </w:rPr>
        <w:t xml:space="preserve"> مستقیم از حمزه روایت نقل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893A1D" w:rsidRPr="00D4772C">
        <w:rPr>
          <w:rFonts w:ascii="IRBadr" w:hAnsi="IRBadr" w:cs="IRBadr"/>
          <w:sz w:val="28"/>
          <w:szCs w:val="28"/>
          <w:rtl/>
          <w:lang w:bidi="fa-IR"/>
        </w:rPr>
        <w:t>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893A1D"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موردپذ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یرش</w:t>
      </w:r>
      <w:r w:rsidR="00893A1D" w:rsidRPr="00D4772C">
        <w:rPr>
          <w:rFonts w:ascii="IRBadr" w:hAnsi="IRBadr" w:cs="IRBadr"/>
          <w:sz w:val="28"/>
          <w:szCs w:val="28"/>
          <w:rtl/>
          <w:lang w:bidi="fa-IR"/>
        </w:rPr>
        <w:t xml:space="preserve"> واقع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93A1D" w:rsidRPr="00D4772C">
        <w:rPr>
          <w:rFonts w:ascii="IRBadr" w:hAnsi="IRBadr" w:cs="IRBadr"/>
          <w:sz w:val="28"/>
          <w:szCs w:val="28"/>
          <w:rtl/>
          <w:lang w:bidi="fa-IR"/>
        </w:rPr>
        <w:t>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E38B2" w:rsidRPr="00D4772C">
        <w:rPr>
          <w:rFonts w:ascii="IRBadr" w:hAnsi="IRBadr" w:cs="IRBadr"/>
          <w:sz w:val="28"/>
          <w:szCs w:val="28"/>
          <w:rtl/>
          <w:lang w:bidi="fa-IR"/>
        </w:rPr>
        <w:t xml:space="preserve"> نظر برخی مانند آقای خویی بر این است که توثیقات ابن ابی عمیر اعتباری ندارد لذا این روایت در نزد او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موردپذ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یرش</w:t>
      </w:r>
      <w:r w:rsidR="005E38B2" w:rsidRPr="00D4772C">
        <w:rPr>
          <w:rFonts w:ascii="IRBadr" w:hAnsi="IRBadr" w:cs="IRBadr"/>
          <w:sz w:val="28"/>
          <w:szCs w:val="28"/>
          <w:rtl/>
          <w:lang w:bidi="fa-IR"/>
        </w:rPr>
        <w:t xml:space="preserve"> نخواهد بود.</w:t>
      </w:r>
    </w:p>
    <w:p w:rsidR="005E38B2" w:rsidRPr="00D4772C" w:rsidRDefault="005E38B2" w:rsidP="00BF04AF">
      <w:pPr>
        <w:pStyle w:val="Heading1"/>
        <w:rPr>
          <w:rFonts w:ascii="IRBadr" w:hAnsi="IRBadr" w:cs="IRBadr"/>
          <w:rtl/>
        </w:rPr>
      </w:pPr>
      <w:bookmarkStart w:id="5" w:name="_Toc426026448"/>
      <w:r w:rsidRPr="00D4772C">
        <w:rPr>
          <w:rFonts w:ascii="IRBadr" w:hAnsi="IRBadr" w:cs="IRBadr"/>
          <w:rtl/>
        </w:rPr>
        <w:t>اشکال دوم به روایت</w:t>
      </w:r>
      <w:bookmarkEnd w:id="5"/>
    </w:p>
    <w:p w:rsidR="005E38B2" w:rsidRPr="00D4772C" w:rsidRDefault="005E38B2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در مواردی این روایت به نحو مرسله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اسم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امام در آنجا ذکر نشده است،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؛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عن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حمزة بن حمران عن احدهما،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مشخص نیست کدام امام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اضمار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 در مواردی که راوی از اعتبار بالایی برخوردار باشد مانند زراره مانعی را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lastRenderedPageBreak/>
        <w:t>به وجود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نخواهد آورد.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علت این اضمار تقیه است یا امری دیگر،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چندان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همه اشکالاتی که به روایت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قابل پاسخ است.</w:t>
      </w:r>
    </w:p>
    <w:p w:rsidR="005E38B2" w:rsidRPr="00D4772C" w:rsidRDefault="005E38B2" w:rsidP="00BF04AF">
      <w:pPr>
        <w:pStyle w:val="Heading1"/>
        <w:rPr>
          <w:rFonts w:ascii="IRBadr" w:hAnsi="IRBadr" w:cs="IRBadr"/>
          <w:rtl/>
        </w:rPr>
      </w:pPr>
      <w:bookmarkStart w:id="6" w:name="_Toc426026449"/>
      <w:r w:rsidRPr="00D4772C">
        <w:rPr>
          <w:rFonts w:ascii="IRBadr" w:hAnsi="IRBadr" w:cs="IRBadr"/>
          <w:rtl/>
        </w:rPr>
        <w:t>دلالت روایت</w:t>
      </w:r>
      <w:bookmarkEnd w:id="6"/>
    </w:p>
    <w:p w:rsidR="005E38B2" w:rsidRPr="00D4772C" w:rsidRDefault="005E38B2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درزم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دلالی 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روایت باید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مطرح شود؛</w:t>
      </w:r>
    </w:p>
    <w:p w:rsidR="00C31ACB" w:rsidRPr="00D4772C" w:rsidRDefault="00C31AC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در این روایت مفهوم شرطی وجود دارد؛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برخی در اصول به مفهوم شرط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و برخی قائل نیستند، ما به این مفهوم قائل هستیم. از امام در این روایت سؤال شد؛ وقتی او بخشید،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حد ساقط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؟ جواب فرمودند؛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قبل از مرافعه باشد،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ساقط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31ACB" w:rsidRPr="00D4772C" w:rsidRDefault="00C31AC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به دنبال آن،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ظهوری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و مفهومی در روایت شکل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بنابرا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اشکال سندی روایت قابل پاسخ بود و از حیث دلالی نیز دلالت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بر اینکه اگر عفو در قذف قبل از مرافعه به حاکم بود،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جای عفو نیست.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هم دلالت روایت و هم سند آن را قبول داریم.</w:t>
      </w:r>
    </w:p>
    <w:p w:rsidR="00C31ACB" w:rsidRPr="00D4772C" w:rsidRDefault="00ED1E1B" w:rsidP="00BF04AF">
      <w:pPr>
        <w:pStyle w:val="Heading1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</w:t>
      </w:r>
      <w:r>
        <w:rPr>
          <w:rFonts w:ascii="IRBadr" w:hAnsi="IRBadr" w:cs="IRBadr" w:hint="cs"/>
          <w:rtl/>
        </w:rPr>
        <w:t>ی</w:t>
      </w:r>
    </w:p>
    <w:p w:rsidR="00C31ACB" w:rsidRPr="00D4772C" w:rsidRDefault="00ED1E1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اول دلالتش خوب بود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که باز ما را به این نتیجه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می‌رساند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 دوم اشکالی دلالی داشت،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سوم </w:t>
      </w:r>
      <w:r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سند و دلالت </w:t>
      </w:r>
      <w:r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است و مفهومش این است که اگر عفو قبل از مرافعه باشد </w:t>
      </w:r>
      <w:r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و الا مقبول نخواهد بود.</w:t>
      </w:r>
    </w:p>
    <w:p w:rsidR="00C31ACB" w:rsidRPr="00D4772C" w:rsidRDefault="00ED1E1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نت</w:t>
      </w:r>
      <w:r>
        <w:rPr>
          <w:rFonts w:ascii="IRBadr" w:hAnsi="IRBadr" w:cs="IRBadr" w:hint="cs"/>
          <w:sz w:val="28"/>
          <w:szCs w:val="28"/>
          <w:rtl/>
          <w:lang w:bidi="fa-IR"/>
        </w:rPr>
        <w:t>یجه‌ای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که در اینجا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می‌گیریم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>، این است که؛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 w:rsidR="00C31ACB" w:rsidRPr="00D4772C">
        <w:rPr>
          <w:rFonts w:ascii="IRBadr" w:hAnsi="IRBadr" w:cs="IRBadr"/>
          <w:sz w:val="28"/>
          <w:szCs w:val="28"/>
          <w:rtl/>
          <w:lang w:bidi="fa-IR"/>
        </w:rPr>
        <w:t xml:space="preserve"> حاصل جمع روایت اول 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>و حاصل دلالت روایت سوم همان تفصیلی است که برخی به نحوی نادر به آن قائل شدند.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 xml:space="preserve"> مشهور بدان قائل شدند،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نتیجه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به‌گونه‌ا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 xml:space="preserve"> دیگر است.</w:t>
      </w:r>
    </w:p>
    <w:p w:rsidR="00C53895" w:rsidRPr="00D4772C" w:rsidRDefault="00C53895" w:rsidP="00BF04AF">
      <w:pPr>
        <w:pStyle w:val="Heading2"/>
        <w:rPr>
          <w:rFonts w:ascii="IRBadr" w:hAnsi="IRBadr" w:cs="IRBadr"/>
          <w:rtl/>
        </w:rPr>
      </w:pPr>
      <w:bookmarkStart w:id="7" w:name="_Toc426026451"/>
      <w:r w:rsidRPr="00D4772C">
        <w:rPr>
          <w:rFonts w:ascii="IRBadr" w:hAnsi="IRBadr" w:cs="IRBadr"/>
          <w:rtl/>
        </w:rPr>
        <w:t>تفاسیری از مرافعه</w:t>
      </w:r>
      <w:bookmarkEnd w:id="7"/>
    </w:p>
    <w:p w:rsidR="00C53895" w:rsidRPr="00D4772C" w:rsidRDefault="00ED1E1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 xml:space="preserve"> که در اینجا باقی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>، این است که؛ منظور از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قبل المرافعه و بعد المرافعه چیست؟ در اینجا می‌شود دو </w:t>
      </w:r>
      <w:r w:rsidR="00C53895" w:rsidRPr="00D4772C">
        <w:rPr>
          <w:rFonts w:ascii="IRBadr" w:hAnsi="IRBadr" w:cs="IRBadr"/>
          <w:sz w:val="28"/>
          <w:szCs w:val="28"/>
          <w:rtl/>
          <w:lang w:bidi="fa-IR"/>
        </w:rPr>
        <w:t>گونه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تفسیر کرد.</w:t>
      </w:r>
    </w:p>
    <w:p w:rsidR="00C53895" w:rsidRPr="00D4772C" w:rsidRDefault="00C53895" w:rsidP="00BF04AF">
      <w:pPr>
        <w:pStyle w:val="Heading2"/>
        <w:rPr>
          <w:rFonts w:ascii="IRBadr" w:hAnsi="IRBadr" w:cs="IRBadr"/>
          <w:rtl/>
        </w:rPr>
      </w:pPr>
      <w:bookmarkStart w:id="8" w:name="_Toc426026452"/>
      <w:r w:rsidRPr="00D4772C">
        <w:rPr>
          <w:rFonts w:ascii="IRBadr" w:hAnsi="IRBadr" w:cs="IRBadr"/>
          <w:rtl/>
        </w:rPr>
        <w:lastRenderedPageBreak/>
        <w:t>تفسیر اول</w:t>
      </w:r>
      <w:bookmarkEnd w:id="8"/>
    </w:p>
    <w:p w:rsidR="00C53895" w:rsidRPr="00D4772C" w:rsidRDefault="00C53895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گاهی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صرف رفتن در محضر عامه و طرح شکایت و دعوا ملاک و مرز مایز است،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هم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در محضر حاکم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رفت،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نمی‌تواند عفو بکند. تا نرفته عند محضر الحاکم و طرح دعوی عند الحاکم نشده است، می‌شود عفو کرد.</w:t>
      </w:r>
    </w:p>
    <w:p w:rsidR="00C53895" w:rsidRPr="00D4772C" w:rsidRDefault="00C53895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در این تفسیر،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ملاک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از مرافعه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مراجعه الی الحاکم است. 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ت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فسیر در دوره فعلی با مناقشاتی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روبه‌رو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شده است،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ا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که منظور 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از مرافعه مراجعه الی الحاکم است.</w:t>
      </w:r>
    </w:p>
    <w:p w:rsidR="00C53895" w:rsidRPr="00D4772C" w:rsidRDefault="00C53895" w:rsidP="00BF04AF">
      <w:pPr>
        <w:pStyle w:val="Heading2"/>
        <w:rPr>
          <w:rFonts w:ascii="IRBadr" w:hAnsi="IRBadr" w:cs="IRBadr"/>
          <w:rtl/>
        </w:rPr>
      </w:pPr>
      <w:bookmarkStart w:id="9" w:name="_Toc426026453"/>
      <w:r w:rsidRPr="00D4772C">
        <w:rPr>
          <w:rFonts w:ascii="IRBadr" w:hAnsi="IRBadr" w:cs="IRBadr"/>
          <w:rtl/>
        </w:rPr>
        <w:t>تفسیر دوم</w:t>
      </w:r>
      <w:bookmarkEnd w:id="9"/>
    </w:p>
    <w:p w:rsidR="00981348" w:rsidRPr="00D4772C" w:rsidRDefault="005427CF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احتمال دوم این است که منظور از مرافعه الی الحاکم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صدور حکم باشد.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مادام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حاکم حکم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صادر نکرده است، 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فرد می‌تواند عفو 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کند، 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>هرچند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پیش حاکم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 رفتند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، دعوا کردند، مدعی و منکر شدند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اقامه دعوا 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>نمودند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پس‌ازا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 نیز عفو نمود،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 حد سقوط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1348" w:rsidRPr="00D4772C" w:rsidRDefault="00ED1E1B" w:rsidP="00BF04AF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</w:t>
      </w:r>
      <w:r>
        <w:rPr>
          <w:rFonts w:ascii="IRBadr" w:hAnsi="IRBadr" w:cs="IRBadr" w:hint="cs"/>
          <w:rtl/>
        </w:rPr>
        <w:t>ی</w:t>
      </w:r>
    </w:p>
    <w:p w:rsidR="00981348" w:rsidRPr="00D4772C" w:rsidRDefault="00981348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پس در احتمال اول،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ملاک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مراجعه به حاکم بود و در احتمال دوم ملاک صدور حکم است،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اگر قبل از صدور حکم باشد،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عفو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نافذ خواهد بود.</w:t>
      </w:r>
    </w:p>
    <w:p w:rsidR="00981348" w:rsidRPr="00D4772C" w:rsidRDefault="00981348" w:rsidP="00BF04AF">
      <w:pPr>
        <w:pStyle w:val="Heading2"/>
        <w:rPr>
          <w:rFonts w:ascii="IRBadr" w:hAnsi="IRBadr" w:cs="IRBadr"/>
          <w:rtl/>
        </w:rPr>
      </w:pPr>
      <w:bookmarkStart w:id="10" w:name="_Toc426026455"/>
      <w:r w:rsidRPr="00D4772C">
        <w:rPr>
          <w:rFonts w:ascii="IRBadr" w:hAnsi="IRBadr" w:cs="IRBadr"/>
          <w:rtl/>
        </w:rPr>
        <w:t>اتخاذمبنا</w:t>
      </w:r>
      <w:bookmarkEnd w:id="10"/>
    </w:p>
    <w:p w:rsidR="00981348" w:rsidRPr="00D4772C" w:rsidRDefault="005427CF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اما به نظر می‌آید با توجه به روایاتی که 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 xml:space="preserve">در اینجا عرض کردیم،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روایت اول، روشن است که منظور همین احتمال دوم است. برای اینکه روایت اول</w:t>
      </w:r>
      <w:r w:rsidR="00981348"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در ذیل آیه</w:t>
      </w:r>
      <w:r w:rsidR="001354F2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4F2" w:rsidRPr="00D4772C">
        <w:rPr>
          <w:rFonts w:ascii="IRBadr" w:hAnsi="IRBadr" w:cs="IRBadr"/>
          <w:b/>
          <w:bCs/>
          <w:sz w:val="28"/>
          <w:szCs w:val="28"/>
          <w:rtl/>
          <w:lang w:bidi="fa-IR"/>
        </w:rPr>
        <w:t>«وَ الْحافِظُونَ لِحُدُودِ اللَّه</w:t>
      </w:r>
      <w:r w:rsidR="00BF04AF" w:rsidRPr="00D4772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1354F2" w:rsidRPr="00D4772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4F2" w:rsidRPr="00D4772C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1"/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بود. و حافظین لحدود الله وقتی معنا دارد که حکم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صادرشده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باشد. والا هنوز تا حکم صادر نشده است، حد الهی ثابت نشده است.</w:t>
      </w:r>
    </w:p>
    <w:p w:rsidR="00981348" w:rsidRPr="00D4772C" w:rsidRDefault="005427CF" w:rsidP="00BF04AF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D4772C">
        <w:rPr>
          <w:rFonts w:ascii="IRBadr" w:hAnsi="IRBadr" w:cs="IRBadr"/>
          <w:sz w:val="28"/>
          <w:szCs w:val="28"/>
          <w:rtl/>
        </w:rPr>
        <w:t>کما اینکه</w:t>
      </w:r>
      <w:r w:rsidR="00BF04AF" w:rsidRPr="00D4772C">
        <w:rPr>
          <w:rFonts w:ascii="IRBadr" w:hAnsi="IRBadr" w:cs="IRBadr"/>
          <w:sz w:val="28"/>
          <w:szCs w:val="28"/>
          <w:rtl/>
        </w:rPr>
        <w:t xml:space="preserve"> </w:t>
      </w:r>
      <w:r w:rsidR="00981348" w:rsidRPr="00D4772C">
        <w:rPr>
          <w:rFonts w:ascii="IRBadr" w:hAnsi="IRBadr" w:cs="IRBadr"/>
          <w:sz w:val="28"/>
          <w:szCs w:val="28"/>
          <w:rtl/>
        </w:rPr>
        <w:t xml:space="preserve">در </w:t>
      </w:r>
      <w:r w:rsidRPr="00D4772C">
        <w:rPr>
          <w:rFonts w:ascii="IRBadr" w:hAnsi="IRBadr" w:cs="IRBadr"/>
          <w:sz w:val="28"/>
          <w:szCs w:val="28"/>
          <w:rtl/>
        </w:rPr>
        <w:t>روایت دوم</w:t>
      </w:r>
      <w:r w:rsidR="00981348" w:rsidRPr="00D4772C">
        <w:rPr>
          <w:rFonts w:ascii="IRBadr" w:hAnsi="IRBadr" w:cs="IRBadr"/>
          <w:sz w:val="28"/>
          <w:szCs w:val="28"/>
          <w:rtl/>
        </w:rPr>
        <w:t>،</w:t>
      </w:r>
      <w:r w:rsidRPr="00D4772C">
        <w:rPr>
          <w:rFonts w:ascii="IRBadr" w:hAnsi="IRBadr" w:cs="IRBadr"/>
          <w:sz w:val="28"/>
          <w:szCs w:val="28"/>
          <w:rtl/>
        </w:rPr>
        <w:t xml:space="preserve"> روایت حلبی </w:t>
      </w:r>
      <w:r w:rsidR="00981348" w:rsidRPr="00D4772C">
        <w:rPr>
          <w:rFonts w:ascii="IRBadr" w:hAnsi="IRBadr" w:cs="IRBadr"/>
          <w:sz w:val="28"/>
          <w:szCs w:val="28"/>
          <w:rtl/>
        </w:rPr>
        <w:t xml:space="preserve">و </w:t>
      </w:r>
      <w:r w:rsidRPr="00D4772C">
        <w:rPr>
          <w:rFonts w:ascii="IRBadr" w:hAnsi="IRBadr" w:cs="IRBadr"/>
          <w:sz w:val="28"/>
          <w:szCs w:val="28"/>
          <w:rtl/>
        </w:rPr>
        <w:t xml:space="preserve">داستان کسی که در </w:t>
      </w:r>
      <w:r w:rsidR="00ED1E1B">
        <w:rPr>
          <w:rFonts w:ascii="IRBadr" w:hAnsi="IRBadr" w:cs="IRBadr"/>
          <w:sz w:val="28"/>
          <w:szCs w:val="28"/>
          <w:rtl/>
        </w:rPr>
        <w:t>مسجدالحرام</w:t>
      </w:r>
      <w:r w:rsidRPr="00D4772C">
        <w:rPr>
          <w:rFonts w:ascii="IRBadr" w:hAnsi="IRBadr" w:cs="IRBadr"/>
          <w:sz w:val="28"/>
          <w:szCs w:val="28"/>
          <w:rtl/>
        </w:rPr>
        <w:t xml:space="preserve"> خوابیده بود و لباسش را دزدیدند</w:t>
      </w:r>
      <w:r w:rsidR="00981348" w:rsidRPr="00D4772C">
        <w:rPr>
          <w:rFonts w:ascii="IRBadr" w:hAnsi="IRBadr" w:cs="IRBadr"/>
          <w:sz w:val="28"/>
          <w:szCs w:val="28"/>
          <w:rtl/>
        </w:rPr>
        <w:t>،</w:t>
      </w:r>
      <w:r w:rsidRPr="00D4772C">
        <w:rPr>
          <w:rFonts w:ascii="IRBadr" w:hAnsi="IRBadr" w:cs="IRBadr"/>
          <w:sz w:val="28"/>
          <w:szCs w:val="28"/>
          <w:rtl/>
        </w:rPr>
        <w:t xml:space="preserve"> ظهورش در این جهت است.</w:t>
      </w:r>
    </w:p>
    <w:p w:rsidR="00981348" w:rsidRPr="00D4772C" w:rsidRDefault="00981348" w:rsidP="00873C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lastRenderedPageBreak/>
        <w:t>لذا مقداری دشوار است که با صرف مراجعه به حاکم عفو ساقط شود و اجرای حد لزوم پیدا کند.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بر اینکه قاعده در</w:t>
      </w:r>
      <w:r w:rsidR="00873CC2">
        <w:rPr>
          <w:rFonts w:ascii="IRBadr" w:hAnsi="IRBadr" w:cs="IRBadr" w:hint="cs"/>
          <w:sz w:val="28"/>
          <w:szCs w:val="28"/>
          <w:rtl/>
          <w:lang w:bidi="fa-IR"/>
        </w:rPr>
        <w:t>ء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باز احتمال دوم را رجحان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می‌بخشد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بنابراین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نت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یجه‌ای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که گرفتیم این شد که تفصیل بین قبل صدور الحکم و بعد صدور الحکم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>تفصیل درستی است. اگر حکم صادر نشده است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، می‌تواند عفو بکند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و با عفو ساقط می‌شود. اما اگر حاکم حک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م را انشا کرد، دیگر آن شخص حق عفو ندارد.</w:t>
      </w:r>
    </w:p>
    <w:p w:rsidR="00981348" w:rsidRPr="00D4772C" w:rsidRDefault="00981348" w:rsidP="00BF04AF">
      <w:pPr>
        <w:pStyle w:val="Heading3"/>
        <w:rPr>
          <w:rFonts w:ascii="IRBadr" w:hAnsi="IRBadr" w:cs="IRBadr"/>
          <w:rtl/>
        </w:rPr>
      </w:pPr>
      <w:bookmarkStart w:id="11" w:name="_Toc426026456"/>
      <w:r w:rsidRPr="00D4772C">
        <w:rPr>
          <w:rFonts w:ascii="IRBadr" w:hAnsi="IRBadr" w:cs="IRBadr"/>
          <w:rtl/>
        </w:rPr>
        <w:t>بازگشت از عفو</w:t>
      </w:r>
      <w:bookmarkEnd w:id="11"/>
    </w:p>
    <w:p w:rsidR="00981348" w:rsidRPr="00D4772C" w:rsidRDefault="00981348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نکته روشنی در اینجا باقی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که اگر فرد بعد از عفو،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عفو خود بازگشت،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این حق رجوع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حقیقتاً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وجود دارد یا خیر؟</w:t>
      </w:r>
    </w:p>
    <w:p w:rsidR="00981348" w:rsidRPr="00D4772C" w:rsidRDefault="00981348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فقها چه در خاصه و چه در عامه به این مبنا قائل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که پس از عفو،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جای بازگشتی نیست.</w:t>
      </w:r>
    </w:p>
    <w:p w:rsidR="00981348" w:rsidRPr="00D4772C" w:rsidRDefault="008D7C8B" w:rsidP="00BF04AF">
      <w:pPr>
        <w:pStyle w:val="Heading3"/>
        <w:rPr>
          <w:rFonts w:ascii="IRBadr" w:hAnsi="IRBadr" w:cs="IRBadr"/>
          <w:rtl/>
        </w:rPr>
      </w:pPr>
      <w:bookmarkStart w:id="12" w:name="_Toc426026457"/>
      <w:r w:rsidRPr="00D4772C">
        <w:rPr>
          <w:rFonts w:ascii="IRBadr" w:hAnsi="IRBadr" w:cs="IRBadr"/>
          <w:rtl/>
        </w:rPr>
        <w:t>مستند بحث</w:t>
      </w:r>
      <w:bookmarkEnd w:id="12"/>
    </w:p>
    <w:p w:rsidR="00BF04AF" w:rsidRPr="00D4772C" w:rsidRDefault="008D7C8B" w:rsidP="00BF04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>دلیل بحث نیز روایتی است که در آن امام فرمودند دیگر بعد از عفو جای پشیمانی و بازگشت از آن نیست.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="005427CF" w:rsidRPr="00D4772C">
        <w:rPr>
          <w:rFonts w:ascii="IRBadr" w:hAnsi="IRBadr" w:cs="IRBadr"/>
          <w:sz w:val="28"/>
          <w:szCs w:val="28"/>
          <w:rtl/>
          <w:lang w:bidi="fa-IR"/>
        </w:rPr>
        <w:t xml:space="preserve"> هیجده، ابواب مقدمات حدود، باب هیجده، حدیث دوم، صفحه سیصد و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س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ی‌ویک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1354F2" w:rsidRPr="00D4772C" w:rsidRDefault="001354F2" w:rsidP="00BF04A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«ابْنُ مَحْبُوبٍ عَنْ أَبِ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وبَ عَنْ سَمَاعَةَ قَالَ: سَأَلْتُ أَبَا عَبْدِ اللَّهِ ع عَنِ الرَّجُلِ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قْذِفُ الرَّجُلَ بِالزِّنَ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عْفُو عَنْهُ وَ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جْعَلُهُ مِنْ ذَلِ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حِلٍّ ثُمَّ إِنَّهُ بَعْدُ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بْدُو لَهُ فِ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أَنْ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قَدِّمَهُ حَتَّ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جْلِدَهُ قَالَ فَقَالَ لَ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لَهُ حَدٌّ بَعْدَ الْعَفْوِ فَقُلْتُ لَهُ أَ رَأَ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تَ إِنْ هُوَ قَالَ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ابْنَ الزَّانِ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ةِ فَعَفَا عَنْهُ وَ تَرَ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ذَلِ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لِلَّهِ فَقَالَ إِنْ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انَتْ أُمُّهُ حَ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ةً فَلَ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سَ لَهُ أَنْ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عْفُوَ الْعَفْوُ إِلَ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أُمِّهِ مَتَ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شَاءَتْ أَخَذَتْ بِحَقِّهَا قَالَ فَإِنْ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انَتْ أُمُّهُ قَدْ مَاتَتْ فَإِنَّهُ وَلِ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أَمْرِهَا </w:t>
      </w:r>
      <w:r w:rsidR="00BF04AF"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772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جُوزُ عَفْوُهُ.»</w:t>
      </w:r>
      <w:r w:rsidR="00BF04AF" w:rsidRPr="00D4772C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8D7C8B" w:rsidRPr="00D4772C" w:rsidRDefault="005427CF" w:rsidP="00873C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قاعده کلی است. </w:t>
      </w:r>
      <w:r w:rsidR="00ED1E1B">
        <w:rPr>
          <w:rFonts w:ascii="IRBadr" w:hAnsi="IRBadr" w:cs="IRBadr"/>
          <w:sz w:val="28"/>
          <w:szCs w:val="28"/>
          <w:rtl/>
          <w:lang w:bidi="fa-IR"/>
        </w:rPr>
        <w:t>بعدازا</w:t>
      </w:r>
      <w:r w:rsidR="00ED1E1B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گذشت</w:t>
      </w:r>
      <w:r w:rsidR="008D7C8B" w:rsidRPr="00D4772C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D4772C">
        <w:rPr>
          <w:rFonts w:ascii="IRBadr" w:hAnsi="IRBadr" w:cs="IRBadr"/>
          <w:sz w:val="28"/>
          <w:szCs w:val="28"/>
          <w:rtl/>
          <w:lang w:bidi="fa-IR"/>
        </w:rPr>
        <w:t xml:space="preserve"> حدی نیست، یعنی این مراجعه دیگر تأثیری ندارد. </w:t>
      </w:r>
      <w:r w:rsidR="008D7C8B" w:rsidRPr="00D4772C">
        <w:rPr>
          <w:rFonts w:ascii="IRBadr" w:hAnsi="IRBadr" w:cs="IRBadr"/>
          <w:sz w:val="28"/>
          <w:szCs w:val="28"/>
          <w:rtl/>
          <w:lang w:bidi="fa-IR"/>
        </w:rPr>
        <w:t xml:space="preserve">البته در کنار روایت </w:t>
      </w:r>
      <w:r w:rsidR="00BF04AF" w:rsidRPr="00D4772C">
        <w:rPr>
          <w:rFonts w:ascii="IRBadr" w:hAnsi="IRBadr" w:cs="IRBadr"/>
          <w:sz w:val="28"/>
          <w:szCs w:val="28"/>
          <w:rtl/>
          <w:lang w:bidi="fa-IR"/>
        </w:rPr>
        <w:t>می‌توانستیم</w:t>
      </w:r>
      <w:r w:rsidR="008D7C8B" w:rsidRPr="00D4772C">
        <w:rPr>
          <w:rFonts w:ascii="IRBadr" w:hAnsi="IRBadr" w:cs="IRBadr"/>
          <w:sz w:val="28"/>
          <w:szCs w:val="28"/>
          <w:rtl/>
          <w:lang w:bidi="fa-IR"/>
        </w:rPr>
        <w:t xml:space="preserve"> با کمک قاعده در</w:t>
      </w:r>
      <w:r w:rsidR="00873CC2">
        <w:rPr>
          <w:rFonts w:ascii="IRBadr" w:hAnsi="IRBadr" w:cs="IRBadr" w:hint="cs"/>
          <w:sz w:val="28"/>
          <w:szCs w:val="28"/>
          <w:rtl/>
          <w:lang w:bidi="fa-IR"/>
        </w:rPr>
        <w:t>ء</w:t>
      </w:r>
      <w:r w:rsidR="008D7C8B" w:rsidRPr="00D4772C">
        <w:rPr>
          <w:rFonts w:ascii="IRBadr" w:hAnsi="IRBadr" w:cs="IRBadr"/>
          <w:sz w:val="28"/>
          <w:szCs w:val="28"/>
          <w:rtl/>
          <w:lang w:bidi="fa-IR"/>
        </w:rPr>
        <w:t>، استصحاب عدم جاری کنیم.</w:t>
      </w:r>
    </w:p>
    <w:p w:rsidR="00152670" w:rsidRPr="00D4772C" w:rsidRDefault="00152670" w:rsidP="00BF04AF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D4772C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2B" w:rsidRDefault="0041002B" w:rsidP="000D5800">
      <w:pPr>
        <w:spacing w:after="0" w:line="240" w:lineRule="auto"/>
      </w:pPr>
      <w:r>
        <w:separator/>
      </w:r>
    </w:p>
  </w:endnote>
  <w:endnote w:type="continuationSeparator" w:id="0">
    <w:p w:rsidR="0041002B" w:rsidRDefault="0041002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2B" w:rsidRDefault="0041002B" w:rsidP="00D4772C">
      <w:pPr>
        <w:bidi/>
        <w:spacing w:after="0" w:line="240" w:lineRule="auto"/>
      </w:pPr>
      <w:r>
        <w:separator/>
      </w:r>
    </w:p>
  </w:footnote>
  <w:footnote w:type="continuationSeparator" w:id="0">
    <w:p w:rsidR="0041002B" w:rsidRDefault="0041002B" w:rsidP="000D5800">
      <w:pPr>
        <w:spacing w:after="0" w:line="240" w:lineRule="auto"/>
      </w:pPr>
      <w:r>
        <w:continuationSeparator/>
      </w:r>
    </w:p>
  </w:footnote>
  <w:footnote w:id="1">
    <w:p w:rsidR="001354F2" w:rsidRPr="001354F2" w:rsidRDefault="001354F2">
      <w:pPr>
        <w:pStyle w:val="FootnoteText"/>
        <w:rPr>
          <w:rFonts w:cs="B Badr"/>
        </w:rPr>
      </w:pPr>
      <w:r w:rsidRPr="001354F2">
        <w:rPr>
          <w:rStyle w:val="FootnoteReference"/>
          <w:rFonts w:cs="B Badr"/>
        </w:rPr>
        <w:footnoteRef/>
      </w:r>
      <w:r w:rsidRPr="001354F2">
        <w:rPr>
          <w:rFonts w:cs="B Badr"/>
          <w:rtl/>
        </w:rPr>
        <w:t xml:space="preserve"> </w:t>
      </w:r>
      <w:r w:rsidRPr="001354F2">
        <w:rPr>
          <w:rFonts w:cs="B Badr" w:hint="cs"/>
          <w:rtl/>
        </w:rPr>
        <w:t>112/توبه</w:t>
      </w:r>
    </w:p>
  </w:footnote>
  <w:footnote w:id="2">
    <w:p w:rsidR="00BF04AF" w:rsidRDefault="00BF04A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04AF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BF04AF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BF04AF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BF04AF">
        <w:rPr>
          <w:rFonts w:ascii="Noor_Titr" w:hAnsi="Noor_Titr" w:cs="B Badr" w:hint="cs"/>
          <w:color w:val="000000" w:themeColor="text1"/>
          <w:rtl/>
        </w:rPr>
        <w:t xml:space="preserve">ة)؛ </w:t>
      </w:r>
      <w:r>
        <w:rPr>
          <w:rFonts w:ascii="Noor_Titr" w:hAnsi="Noor_Titr" w:cs="B Badr"/>
          <w:color w:val="000000" w:themeColor="text1"/>
          <w:rtl/>
        </w:rPr>
        <w:t>ج 7</w:t>
      </w:r>
      <w:r w:rsidRPr="00BF04AF">
        <w:rPr>
          <w:rFonts w:ascii="Noor_Titr" w:hAnsi="Noor_Titr" w:cs="B Badr" w:hint="cs"/>
          <w:color w:val="000000" w:themeColor="text1"/>
          <w:rtl/>
        </w:rPr>
        <w:t>، ص: 252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427C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244657" wp14:editId="5CAB6A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AB27A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371D8905" wp14:editId="031E66F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F04A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427CF">
      <w:rPr>
        <w:rFonts w:ascii="IranNastaliq" w:hAnsi="IranNastaliq" w:cs="IranNastaliq" w:hint="cs"/>
        <w:sz w:val="40"/>
        <w:szCs w:val="40"/>
        <w:rtl/>
      </w:rPr>
      <w:t>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CF"/>
    <w:rsid w:val="000228A2"/>
    <w:rsid w:val="000324F1"/>
    <w:rsid w:val="00041FE0"/>
    <w:rsid w:val="00045288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54F2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06F1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02B"/>
    <w:rsid w:val="00410699"/>
    <w:rsid w:val="00415360"/>
    <w:rsid w:val="0044591E"/>
    <w:rsid w:val="004651D2"/>
    <w:rsid w:val="00465D26"/>
    <w:rsid w:val="004679F8"/>
    <w:rsid w:val="004B337F"/>
    <w:rsid w:val="004F3596"/>
    <w:rsid w:val="005427CF"/>
    <w:rsid w:val="00572E2D"/>
    <w:rsid w:val="00592103"/>
    <w:rsid w:val="005941DD"/>
    <w:rsid w:val="005A545E"/>
    <w:rsid w:val="005A5862"/>
    <w:rsid w:val="005B0852"/>
    <w:rsid w:val="005C06AE"/>
    <w:rsid w:val="005E38B2"/>
    <w:rsid w:val="00610C18"/>
    <w:rsid w:val="00612385"/>
    <w:rsid w:val="0061376C"/>
    <w:rsid w:val="00636EFA"/>
    <w:rsid w:val="0066229C"/>
    <w:rsid w:val="0069696C"/>
    <w:rsid w:val="006A085A"/>
    <w:rsid w:val="006C7542"/>
    <w:rsid w:val="006D3A87"/>
    <w:rsid w:val="006D7246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4981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CC2"/>
    <w:rsid w:val="00883733"/>
    <w:rsid w:val="00893A1D"/>
    <w:rsid w:val="008965D2"/>
    <w:rsid w:val="008A236D"/>
    <w:rsid w:val="008B565A"/>
    <w:rsid w:val="008C3414"/>
    <w:rsid w:val="008D36D5"/>
    <w:rsid w:val="008D7C8B"/>
    <w:rsid w:val="008E3903"/>
    <w:rsid w:val="008F63E3"/>
    <w:rsid w:val="00913C3B"/>
    <w:rsid w:val="009145C1"/>
    <w:rsid w:val="00915509"/>
    <w:rsid w:val="00927388"/>
    <w:rsid w:val="009274FE"/>
    <w:rsid w:val="009401AC"/>
    <w:rsid w:val="009613AC"/>
    <w:rsid w:val="00980643"/>
    <w:rsid w:val="00981348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6E23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04AF"/>
    <w:rsid w:val="00BF3D67"/>
    <w:rsid w:val="00C160AF"/>
    <w:rsid w:val="00C20599"/>
    <w:rsid w:val="00C22299"/>
    <w:rsid w:val="00C25609"/>
    <w:rsid w:val="00C262D7"/>
    <w:rsid w:val="00C26607"/>
    <w:rsid w:val="00C31ACB"/>
    <w:rsid w:val="00C53895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772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1E1B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42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354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3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D47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42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354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3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D4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DC4B-5D87-4719-AB63-E02A6D36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114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18</cp:revision>
  <dcterms:created xsi:type="dcterms:W3CDTF">2014-12-22T03:59:00Z</dcterms:created>
  <dcterms:modified xsi:type="dcterms:W3CDTF">2015-08-15T06:30:00Z</dcterms:modified>
</cp:coreProperties>
</file>