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A9" w:rsidRPr="007772E7" w:rsidRDefault="00DA2CA9" w:rsidP="00A31503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بسم </w:t>
      </w:r>
      <w:bookmarkEnd w:id="0"/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t>الله الرحمن الرحیم</w:t>
      </w:r>
    </w:p>
    <w:p w:rsidR="00A31503" w:rsidRPr="007772E7" w:rsidRDefault="00A31503" w:rsidP="00A31503">
      <w:pPr>
        <w:bidi/>
        <w:jc w:val="both"/>
        <w:rPr>
          <w:rFonts w:ascii="IRBadr" w:hAnsi="IRBadr" w:cs="IRBadr"/>
          <w:noProof/>
        </w:rPr>
      </w:pP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7772E7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7772E7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7772E7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A31503" w:rsidRPr="007772E7" w:rsidRDefault="00C4727E" w:rsidP="00A31503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4947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ذکر منابع بحث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_Toc427374947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2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4948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مرور بحث پیشین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_Toc427374948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3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374949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مرور اقوال در مسقطیت عفو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_Toc427374949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3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0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تحریر قول چهارم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_Toc427374950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3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1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تفاوت قولی مرحوم شیخ و صدوق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_Toc427374951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4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2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اشاره‌ای به بحث ملاعنه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_Toc427374952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4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3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قواعد در این باب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_Toc427374953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4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4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صور در نسبت به زنای زوجین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_Toc427374954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4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5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آثار لعان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_Toc427374955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4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6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بررسی مستندات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_Toc427374956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5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7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دلیل اول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_Toc427374957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5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8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اقوال در «لا» در روایت فوق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_Toc427374958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6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59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مناقشات در استدلال فوق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_Toc427374959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6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0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مناقشه سندی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_Toc427374960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6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1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پاسخ از مناقشه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_Toc427374961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7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2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مناقشه در دلالت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_Toc427374962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7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3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احتمالات در احتمال اول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_Toc427374963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7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4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_Toc427374964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8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5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استدلال مرحوم شیخ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_Toc427374965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8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6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پاسخ استدلال فوق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_Toc427374966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8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7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روایتی دیگر بر مسقطیت عفو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_Toc427374967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8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C4727E" w:rsidP="00A31503">
      <w:pPr>
        <w:pStyle w:val="TOC4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374968" w:history="1">
        <w:r w:rsidR="00A31503" w:rsidRPr="007772E7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A31503" w:rsidRPr="007772E7">
          <w:rPr>
            <w:rFonts w:ascii="IRBadr" w:hAnsi="IRBadr" w:cs="IRBadr"/>
            <w:noProof/>
            <w:webHidden/>
          </w:rPr>
          <w:tab/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31503" w:rsidRPr="007772E7">
          <w:rPr>
            <w:rFonts w:ascii="IRBadr" w:hAnsi="IRBadr" w:cs="IRBadr"/>
            <w:noProof/>
            <w:webHidden/>
          </w:rPr>
          <w:instrText xml:space="preserve"> PAGEREF _Toc427374968 \h </w:instrText>
        </w:r>
        <w:r w:rsidR="00A31503" w:rsidRPr="007772E7">
          <w:rPr>
            <w:rStyle w:val="Hyperlink"/>
            <w:rFonts w:ascii="IRBadr" w:hAnsi="IRBadr" w:cs="IRBadr"/>
            <w:noProof/>
            <w:rtl/>
          </w:rPr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31503" w:rsidRPr="007772E7">
          <w:rPr>
            <w:rFonts w:ascii="IRBadr" w:hAnsi="IRBadr" w:cs="IRBadr"/>
            <w:noProof/>
            <w:webHidden/>
          </w:rPr>
          <w:t>8</w:t>
        </w:r>
        <w:r w:rsidR="00A31503" w:rsidRPr="007772E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31503" w:rsidRPr="007772E7" w:rsidRDefault="00A31503" w:rsidP="00A31503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7772E7" w:rsidRPr="007772E7" w:rsidRDefault="007772E7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374947"/>
      <w:r w:rsidRPr="007772E7">
        <w:rPr>
          <w:rFonts w:ascii="IRBadr" w:hAnsi="IRBadr" w:cs="IRBadr"/>
          <w:rtl/>
        </w:rPr>
        <w:br w:type="page"/>
      </w:r>
    </w:p>
    <w:p w:rsidR="00D743FA" w:rsidRPr="007772E7" w:rsidRDefault="00D743FA" w:rsidP="00A31503">
      <w:pPr>
        <w:pStyle w:val="Heading1"/>
        <w:rPr>
          <w:rFonts w:ascii="IRBadr" w:hAnsi="IRBadr" w:cs="IRBadr"/>
          <w:rtl/>
        </w:rPr>
      </w:pPr>
      <w:r w:rsidRPr="007772E7">
        <w:rPr>
          <w:rFonts w:ascii="IRBadr" w:hAnsi="IRBadr" w:cs="IRBadr"/>
          <w:rtl/>
        </w:rPr>
        <w:lastRenderedPageBreak/>
        <w:t>ذکر منابع بحث</w:t>
      </w:r>
      <w:bookmarkEnd w:id="1"/>
    </w:p>
    <w:p w:rsidR="00207A83" w:rsidRPr="007772E7" w:rsidRDefault="007772E7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طبق تحریر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الوسیله حضرت امام بحث می‌کنیم. بحث در باب حدود است و به حد قذف رسیدیم و در احکام قذف نیز مسئله چهارم مسقطات حد قذف است که ما در طی آن از این منابع بهره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برده‌ایم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D743FA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جواهر جلد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چهل‌ویک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، صفحه چهارصد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بیست‌وپنج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در المنظور مرحوم آقای گلپایگانی،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جلد نه، صفحه دویست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بیست‌ودو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الدر المنظور فی احکام تعزیرات و الحدود جلد دو، صفحه دویست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بیست‌ودو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ـ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اسس الحدود و التعزیرات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آقای تبریزی، صفحه دویست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پنجاه‌وچهار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مبانی تکمله آقای خویی، ج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لد اول، صفحه دویست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پنجاه‌ونه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تفصیل الشریعه آقای فاضل صفحه سیصد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نودوپنج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ـ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مبانی </w:t>
      </w:r>
      <w:r w:rsidR="00772D3E">
        <w:rPr>
          <w:rFonts w:ascii="IRBadr" w:hAnsi="IRBadr" w:cs="IRBadr"/>
          <w:sz w:val="28"/>
          <w:szCs w:val="28"/>
          <w:rtl/>
          <w:lang w:bidi="fa-IR"/>
        </w:rPr>
        <w:t>تحریرالوسیله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تألیف جناب مؤمن است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، جلد دوم صفحه چهارصد و هشتاد.</w:t>
      </w:r>
    </w:p>
    <w:p w:rsidR="00D743FA" w:rsidRPr="007772E7" w:rsidRDefault="00D743FA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و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بحث‌های مربوط به فقه عامه هم در کتاب الفقه علی المذاهب الاربعه جلد آخر صفحه دویست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بیست‌تا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دویست و سی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>این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موارد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منابعی است که در اینجا بیشتر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به بحث پرداخته است.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البته ریاض و منابع دیگر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ی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داریم که در مواردی که بحث مهمی داشته باشد به آن اشاره می‌کنیم.</w:t>
      </w:r>
    </w:p>
    <w:p w:rsidR="00D743FA" w:rsidRPr="007772E7" w:rsidRDefault="00D743FA" w:rsidP="00A31503">
      <w:pPr>
        <w:pStyle w:val="Heading2"/>
        <w:rPr>
          <w:rFonts w:ascii="IRBadr" w:hAnsi="IRBadr" w:cs="IRBadr"/>
          <w:rtl/>
        </w:rPr>
      </w:pPr>
      <w:bookmarkStart w:id="2" w:name="_Toc427374948"/>
      <w:r w:rsidRPr="007772E7">
        <w:rPr>
          <w:rFonts w:ascii="IRBadr" w:hAnsi="IRBadr" w:cs="IRBadr"/>
          <w:rtl/>
        </w:rPr>
        <w:t>مرور بحث پیشین</w:t>
      </w:r>
      <w:bookmarkEnd w:id="2"/>
    </w:p>
    <w:p w:rsidR="00D743FA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مسئله چهارم بحث مسقطات حد قذف بود که حد قذف با چه اموری ساقط می‌شود. اولین مسقط اقرار مقذوف بود، دوم مسقط بینه قائم بر زنا بود و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 xml:space="preserve"> مسقط سوم عفو مقذوف از قاذف بود؛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اینکه مقذوف قاذف را ببخشد موجب می‌شود حد ساقط بشود. در مسقطیت عفو گفتیم چهار قول و دو قول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به‌تفصیل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D743FA" w:rsidRPr="007772E7" w:rsidRDefault="00D743FA" w:rsidP="00A31503">
      <w:pPr>
        <w:pStyle w:val="Heading2"/>
        <w:rPr>
          <w:rFonts w:ascii="IRBadr" w:hAnsi="IRBadr" w:cs="IRBadr"/>
          <w:rtl/>
        </w:rPr>
      </w:pPr>
      <w:bookmarkStart w:id="3" w:name="_Toc427374949"/>
      <w:r w:rsidRPr="007772E7">
        <w:rPr>
          <w:rFonts w:ascii="IRBadr" w:hAnsi="IRBadr" w:cs="IRBadr"/>
          <w:rtl/>
        </w:rPr>
        <w:t>مرور اقوال در مسقطیت عفو</w:t>
      </w:r>
      <w:bookmarkEnd w:id="3"/>
    </w:p>
    <w:p w:rsidR="00D743FA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یک قول این بود که عفو مطلقاً مسقط نیست، در عامه بود، ولی در خاصه 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قائلی نداشت.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یک قول این بود که عفو مطلقاً مسقط است، مشهور بین خاصه 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قائل به این قول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بود، و دو تف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صیل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وجود داشت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؛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قول سوم و چهارم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.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قول سوم این بود که مسقطیت ع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فو قبل از مرافعه الی الحاکم است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و اما بعد از مرافعه الی الحاکم دیگر عفو مسقط نیست. ا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ین تفصیل سوم بود که ما این تفصیل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را پذیرفتیم، برخلاف </w:t>
      </w:r>
      <w:r w:rsidR="00772D3E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مشهور </w:t>
      </w:r>
      <w:r w:rsidR="00D743FA" w:rsidRPr="007772E7">
        <w:rPr>
          <w:rFonts w:ascii="IRBadr" w:hAnsi="IRBadr" w:cs="IRBadr"/>
          <w:sz w:val="28"/>
          <w:szCs w:val="28"/>
          <w:rtl/>
          <w:lang w:bidi="fa-IR"/>
        </w:rPr>
        <w:t>که نپذیرفته بودند.</w:t>
      </w:r>
    </w:p>
    <w:p w:rsidR="00D743FA" w:rsidRPr="007772E7" w:rsidRDefault="00D743FA" w:rsidP="00A31503">
      <w:pPr>
        <w:pStyle w:val="Heading3"/>
        <w:rPr>
          <w:rFonts w:ascii="IRBadr" w:hAnsi="IRBadr" w:cs="IRBadr"/>
          <w:rtl/>
        </w:rPr>
      </w:pPr>
      <w:bookmarkStart w:id="4" w:name="_Toc427374950"/>
      <w:r w:rsidRPr="007772E7">
        <w:rPr>
          <w:rFonts w:ascii="IRBadr" w:hAnsi="IRBadr" w:cs="IRBadr"/>
          <w:rtl/>
        </w:rPr>
        <w:lastRenderedPageBreak/>
        <w:t>تحریر قول چهارم</w:t>
      </w:r>
      <w:bookmarkEnd w:id="4"/>
    </w:p>
    <w:p w:rsidR="005E0947" w:rsidRPr="007772E7" w:rsidRDefault="00D743FA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در این میان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قول چهارم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باقی می‌ماند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، قول چهارم که همان تفصیل دوم در مسئله باشد، به مرحوم صدوق نسبت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داده‌شده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مرحوم شیخ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ازآنچه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در تهذیب و استبصار استفاده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>، ظاهرشان این تفصیل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سوم است.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گرچه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این قول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یک قول تلقی کردیم ولی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خودش دو شعبه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>بود.</w:t>
      </w:r>
    </w:p>
    <w:p w:rsidR="005E0947" w:rsidRPr="007772E7" w:rsidRDefault="005E0947" w:rsidP="0005722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در حقیقت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 تف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صیل بین باب زوجه و غیر زوجه است؛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اینکه مقذوف غیر زوجه باشد، یا مقذوف زوجه باشد. اگر قذف از ناحیه فردی به فرد دیگری غیر از زوجه است.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مطلقاً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عفو مسقط است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.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اما اگر قاذف زوج و مقذوف زوجه باشد،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اینجا گفته می‌شود عفو مسقط نیست.</w:t>
      </w:r>
    </w:p>
    <w:p w:rsidR="005E0947" w:rsidRPr="007772E7" w:rsidRDefault="005E0947" w:rsidP="00A31503">
      <w:pPr>
        <w:pStyle w:val="Heading3"/>
        <w:rPr>
          <w:rFonts w:ascii="IRBadr" w:hAnsi="IRBadr" w:cs="IRBadr"/>
          <w:rtl/>
        </w:rPr>
      </w:pPr>
      <w:bookmarkStart w:id="5" w:name="_Toc427374951"/>
      <w:r w:rsidRPr="007772E7">
        <w:rPr>
          <w:rFonts w:ascii="IRBadr" w:hAnsi="IRBadr" w:cs="IRBadr"/>
          <w:rtl/>
        </w:rPr>
        <w:t>تفاوت قولی مرحوم شیخ و صدوق</w:t>
      </w:r>
      <w:bookmarkEnd w:id="5"/>
    </w:p>
    <w:p w:rsidR="005E0947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مرحوم صدوق است می‌گوید عفو زوجه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>مطلقاً مسقط نیست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و مرحوم ش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>یخ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در تهذیب و استبصار می‌گوید عفو غیر زوجه مطلقاً مسقط است، اما عفو زوجه قبل از مرافعه مسقط است، ولی بعد المرافعه مسقط نیست. این تفاوتی است که بین مرحوم صدوق و شیخ است.</w:t>
      </w:r>
    </w:p>
    <w:p w:rsidR="005E0947" w:rsidRPr="007772E7" w:rsidRDefault="00614F69" w:rsidP="00A31503">
      <w:pPr>
        <w:pStyle w:val="Heading4"/>
        <w:ind w:firstLine="0"/>
        <w:rPr>
          <w:rFonts w:ascii="IRBadr" w:hAnsi="IRBadr" w:cs="IRBadr"/>
          <w:rtl/>
        </w:rPr>
      </w:pPr>
      <w:bookmarkStart w:id="6" w:name="_Toc427374952"/>
      <w:r w:rsidRPr="007772E7">
        <w:rPr>
          <w:rFonts w:ascii="IRBadr" w:hAnsi="IRBadr" w:cs="IRBadr"/>
          <w:rtl/>
        </w:rPr>
        <w:t>اشاره‌ای</w:t>
      </w:r>
      <w:r w:rsidR="005E0947" w:rsidRPr="007772E7">
        <w:rPr>
          <w:rFonts w:ascii="IRBadr" w:hAnsi="IRBadr" w:cs="IRBadr"/>
          <w:rtl/>
        </w:rPr>
        <w:t xml:space="preserve"> به بحث ملاعنه</w:t>
      </w:r>
      <w:bookmarkEnd w:id="6"/>
    </w:p>
    <w:p w:rsidR="005E0947" w:rsidRPr="007772E7" w:rsidRDefault="00614F6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که بعد خواهیم گفت یکی از مسقطات حد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ملاعنه است، قبل از اینکه به این بحث برسیم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لازم است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توضیحی راجع به باب لعان بدهیم.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در این مقام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قاعده‌ای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 کلی وجود دارد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که مربوط به حد قذف است. یعنی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دیگری را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متهم به زنا و لواط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کند،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>مستحق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حد قذف است.</w:t>
      </w:r>
    </w:p>
    <w:p w:rsidR="005E0947" w:rsidRPr="007772E7" w:rsidRDefault="005E0947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یعنی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اصولاً دشنام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اتهام زدن و فحش به دیگران یک گناه کبیره است که تعزیر دارد.</w:t>
      </w:r>
    </w:p>
    <w:p w:rsidR="005E0947" w:rsidRPr="007772E7" w:rsidRDefault="005E0947" w:rsidP="00A31503">
      <w:pPr>
        <w:pStyle w:val="Heading4"/>
        <w:ind w:firstLine="0"/>
        <w:rPr>
          <w:rFonts w:ascii="IRBadr" w:hAnsi="IRBadr" w:cs="IRBadr"/>
          <w:rtl/>
        </w:rPr>
      </w:pPr>
      <w:bookmarkStart w:id="7" w:name="_Toc427374953"/>
      <w:r w:rsidRPr="007772E7">
        <w:rPr>
          <w:rFonts w:ascii="IRBadr" w:hAnsi="IRBadr" w:cs="IRBadr"/>
          <w:rtl/>
        </w:rPr>
        <w:t>قواعد در این باب</w:t>
      </w:r>
      <w:bookmarkEnd w:id="7"/>
    </w:p>
    <w:p w:rsidR="005E0947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قاعده دوم این است که نسبت زنا و لواط دادن به کسی دیگر تعزیر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 ندارد، چیزی بالاتر از تعزیر یعنی حد دارد که همان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زمانی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جلدهای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که در آیه شریفه سوره نور آمده است. قاعده سومی وجود دارد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 xml:space="preserve">که باید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این نسبت </w:t>
      </w:r>
      <w:r w:rsidR="005E0947" w:rsidRPr="007772E7">
        <w:rPr>
          <w:rFonts w:ascii="IRBadr" w:hAnsi="IRBadr" w:cs="IRBadr"/>
          <w:sz w:val="28"/>
          <w:szCs w:val="28"/>
          <w:rtl/>
          <w:lang w:bidi="fa-IR"/>
        </w:rPr>
        <w:t>به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زنا از ناحیه مرد به زن دائمی خودش باشد.</w:t>
      </w:r>
    </w:p>
    <w:p w:rsidR="005E0947" w:rsidRPr="007772E7" w:rsidRDefault="005E0947" w:rsidP="00A31503">
      <w:pPr>
        <w:pStyle w:val="Heading4"/>
        <w:ind w:firstLine="0"/>
        <w:rPr>
          <w:rFonts w:ascii="IRBadr" w:hAnsi="IRBadr" w:cs="IRBadr"/>
          <w:rtl/>
        </w:rPr>
      </w:pPr>
      <w:bookmarkStart w:id="8" w:name="_Toc427374954"/>
      <w:r w:rsidRPr="007772E7">
        <w:rPr>
          <w:rFonts w:ascii="IRBadr" w:hAnsi="IRBadr" w:cs="IRBadr"/>
          <w:rtl/>
        </w:rPr>
        <w:t>صور در نسبت به زنای زوجین</w:t>
      </w:r>
      <w:bookmarkEnd w:id="8"/>
    </w:p>
    <w:p w:rsidR="006C723E" w:rsidRPr="007772E7" w:rsidRDefault="00614F6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lastRenderedPageBreak/>
        <w:t>در اینجا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گفته‌شده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که دو راه وجود دارد. یکی طر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یق اجرای حد قذف است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و یکی هم طریق لعان است.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پس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یک‌راه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 است که مرد آمادگی این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نداشته باشد که قسم‌ها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ی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مذکور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در سوره نور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را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بخورد، ط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بعاً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در اینجا زن می‌تواند مطالبه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کند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به حاکم بگوید، مرا به زنا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متهم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کرده است و جای حد قذف است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6C723E" w:rsidRPr="007772E7" w:rsidRDefault="006C723E" w:rsidP="00A31503">
      <w:pPr>
        <w:pStyle w:val="Heading4"/>
        <w:ind w:firstLine="0"/>
        <w:rPr>
          <w:rFonts w:ascii="IRBadr" w:hAnsi="IRBadr" w:cs="IRBadr"/>
          <w:rtl/>
        </w:rPr>
      </w:pPr>
      <w:bookmarkStart w:id="9" w:name="_Toc427374955"/>
      <w:r w:rsidRPr="007772E7">
        <w:rPr>
          <w:rFonts w:ascii="IRBadr" w:hAnsi="IRBadr" w:cs="IRBadr"/>
          <w:rtl/>
        </w:rPr>
        <w:t>آثار لعان</w:t>
      </w:r>
      <w:bookmarkEnd w:id="9"/>
    </w:p>
    <w:p w:rsidR="006C723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راه دیگر این است که مرد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بعدازاینکه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اتهام را وارد می‌کند، قسم بخورد. صیغه‌اش هم صیغه خاصه است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فقه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به‌نحوی‌که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چهار بار او را نسبت زنا می‌دهد، و پنجمین بار می‌گوید لعنت خدا بر من اگر دروغ بگویم.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اگر زن در نقطه مقابل این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قسم‌ها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را ایراد نمود،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آن زمان، چهار حکم فقهی بر این مترتب است، به این لعان یا ملاعنه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اگر دو طرف این شهادات و قسم را انجام دادند،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طلاق بین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جاری خواهد شد،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برای همیشه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از هم جدا می‌شوند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حرمت ابدیه پیدا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ثالثاً بر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هیچ‌کدام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حدی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نیست، نه حد قذف بر او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نه حد زنا بر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دیگری است.</w:t>
      </w:r>
    </w:p>
    <w:p w:rsidR="006C723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لعان از باب مفاعله است، یعنی دو لعن متفاوت موجب این می‌شود که حد قذف از او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و حد زنا از زن ساقط بشود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و زوجیت 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>قطع می‌شود و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حرمت هم ابدیه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بعدازآن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نمی‌توانند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باهم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ازدواج کنند. این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>تقریباً</w:t>
      </w:r>
      <w:r w:rsidR="006C723E" w:rsidRPr="007772E7">
        <w:rPr>
          <w:rFonts w:ascii="IRBadr" w:hAnsi="IRBadr" w:cs="IRBadr"/>
          <w:sz w:val="28"/>
          <w:szCs w:val="28"/>
          <w:rtl/>
          <w:lang w:bidi="fa-IR"/>
        </w:rPr>
        <w:t xml:space="preserve"> دور نمایی از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باب لعان است.</w:t>
      </w:r>
    </w:p>
    <w:p w:rsidR="003A4C62" w:rsidRPr="007772E7" w:rsidRDefault="003A4C62" w:rsidP="00A31503">
      <w:pPr>
        <w:pStyle w:val="Heading4"/>
        <w:ind w:firstLine="0"/>
        <w:rPr>
          <w:rFonts w:ascii="IRBadr" w:hAnsi="IRBadr" w:cs="IRBadr"/>
          <w:rtl/>
        </w:rPr>
      </w:pPr>
      <w:bookmarkStart w:id="10" w:name="_Toc427374956"/>
      <w:r w:rsidRPr="007772E7">
        <w:rPr>
          <w:rFonts w:ascii="IRBadr" w:hAnsi="IRBadr" w:cs="IRBadr"/>
          <w:rtl/>
        </w:rPr>
        <w:t>بررسی مستندات</w:t>
      </w:r>
      <w:bookmarkEnd w:id="10"/>
    </w:p>
    <w:p w:rsidR="003A4C62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اما باید ببینیم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آیا در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اینجا دلیل خاص داریم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؟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و چه وجهی برای این دو قول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مذکور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است؟</w:t>
      </w:r>
    </w:p>
    <w:p w:rsidR="003A4C62" w:rsidRPr="007772E7" w:rsidRDefault="003A4C62" w:rsidP="00A31503">
      <w:pPr>
        <w:pStyle w:val="Heading4"/>
        <w:ind w:firstLine="0"/>
        <w:rPr>
          <w:rFonts w:ascii="IRBadr" w:hAnsi="IRBadr" w:cs="IRBadr"/>
          <w:rtl/>
        </w:rPr>
      </w:pPr>
      <w:bookmarkStart w:id="11" w:name="_Toc427374957"/>
      <w:r w:rsidRPr="007772E7">
        <w:rPr>
          <w:rFonts w:ascii="IRBadr" w:hAnsi="IRBadr" w:cs="IRBadr"/>
          <w:rtl/>
        </w:rPr>
        <w:t>دلیل اول</w:t>
      </w:r>
      <w:bookmarkEnd w:id="11"/>
    </w:p>
    <w:p w:rsidR="003A4C62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دلیل اول که غالباً در کلمات فقها آمده است، صحیحه محمد بن مسلم است. این صحیحه در جلد هیجده از ابواب حد قذف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باب بیست، حدیث چ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هارم، صفحه چهارصد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پنجاه‌وپنج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منظور از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باسناده اسناد شیخ به یونس بن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عبدالرحمان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که سند شیخ به یونس 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چند سند است که برخی از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معتبر بوده و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یونس هم تکلیفش روشن است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سند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سند موثق و روایت 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صحیحه است. یعنی رجال روایت امامیه ثقه هستند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C6522" w:rsidRPr="007772E7" w:rsidRDefault="00BC6522" w:rsidP="00A315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</w:pP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A31503"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ونُسُ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بْنُ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عَبْدِ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الرَّحْمَنِ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عَنِ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الْعَلَاءِ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عَنْ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مُحَمَّدِ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بْنِ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مُسْلِمٍ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قَالَ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سَأَلْتُهُ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عَنِ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الرَّجُلِ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A31503"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قْذِفُ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امْرَأَتَهُ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قَالَ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A31503"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جْلَدُ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قُلْتُ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أَ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رَأَ</w:t>
      </w:r>
      <w:r w:rsidR="00A31503"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تَ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إِنْ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عَفَتْ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عَنْهُ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قَالَ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لَا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وَ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لَا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A31503"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رَامَةَ</w:t>
      </w:r>
      <w:r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lang w:bidi="fa-IR"/>
        </w:rPr>
        <w:t>.</w:t>
      </w:r>
      <w:r w:rsidR="00A31503" w:rsidRPr="007772E7">
        <w:rPr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7772E7">
        <w:rPr>
          <w:rStyle w:val="FootnoteReference"/>
          <w:rFonts w:ascii="IRBadr" w:eastAsia="Times New Roman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1"/>
      </w:r>
    </w:p>
    <w:p w:rsidR="00BC6522" w:rsidRPr="007772E7" w:rsidRDefault="00BC6522" w:rsidP="00A315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eastAsia="Times New Roman" w:hAnsi="IRBadr" w:cs="IRBadr"/>
          <w:color w:val="000000"/>
          <w:sz w:val="2"/>
          <w:szCs w:val="2"/>
          <w:lang w:bidi="fa-IR"/>
        </w:rPr>
      </w:pPr>
    </w:p>
    <w:p w:rsidR="003A4C62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lastRenderedPageBreak/>
        <w:t>مرد تعزیر می‌شود. البته این در صورتی است که لعان نشود. چون ادله لعان این را قید زده، این می‌گوید مطلقاً یجلد، روایات باب لعان می‌گوید اگر قسم‌ها را خورد و شهادت داد دیگر لا یجلد، ولی فرض این است که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 xml:space="preserve"> به سراغ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لعان 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نرفته است،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فرمود یجلد شلاق می‌</w:t>
      </w:r>
      <w:r w:rsidR="003A4C62" w:rsidRPr="007772E7">
        <w:rPr>
          <w:rFonts w:ascii="IRBadr" w:hAnsi="IRBadr" w:cs="IRBadr"/>
          <w:sz w:val="28"/>
          <w:szCs w:val="28"/>
          <w:rtl/>
          <w:lang w:bidi="fa-IR"/>
        </w:rPr>
        <w:t>خورد و حد قذف جاری می‌شود.</w:t>
      </w:r>
    </w:p>
    <w:p w:rsidR="008A42C4" w:rsidRPr="007772E7" w:rsidRDefault="008A42C4" w:rsidP="00A31503">
      <w:pPr>
        <w:pStyle w:val="Heading4"/>
        <w:ind w:firstLine="0"/>
        <w:rPr>
          <w:rFonts w:ascii="IRBadr" w:hAnsi="IRBadr" w:cs="IRBadr"/>
          <w:rtl/>
        </w:rPr>
      </w:pPr>
      <w:bookmarkStart w:id="12" w:name="_Toc427374958"/>
      <w:r w:rsidRPr="007772E7">
        <w:rPr>
          <w:rFonts w:ascii="IRBadr" w:hAnsi="IRBadr" w:cs="IRBadr"/>
          <w:rtl/>
        </w:rPr>
        <w:t>اقوال در «لا» در روایت فوق</w:t>
      </w:r>
      <w:bookmarkEnd w:id="12"/>
    </w:p>
    <w:p w:rsidR="008A42C4" w:rsidRPr="007772E7" w:rsidRDefault="003A4C62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در ادامه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دارد، محمد بن مسلم از امام سؤال می‌کند، اگر این زن مرد را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بخشید؟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حضرت جوابی دادند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کوتاه است و به دلیل این کوتاهی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مبتلای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به‌اجمال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شده است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که راوی احتمالاً می‌فهمیده، ولی برای ما دشوار است که بگوییم کدام احتمال را صحیح بدانیم. حضرت فرمود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772D3E">
        <w:rPr>
          <w:rFonts w:ascii="IRBadr" w:hAnsi="IRBadr" w:cs="IRBadr" w:hint="cs"/>
          <w:sz w:val="28"/>
          <w:szCs w:val="28"/>
          <w:rtl/>
          <w:lang w:bidi="fa-IR"/>
        </w:rPr>
        <w:t>«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لا</w:t>
      </w:r>
      <w:r w:rsidR="00772D3E">
        <w:rPr>
          <w:rFonts w:ascii="IRBadr" w:hAnsi="IRBadr" w:cs="IRBadr" w:hint="cs"/>
          <w:sz w:val="28"/>
          <w:szCs w:val="28"/>
          <w:rtl/>
          <w:lang w:bidi="fa-IR"/>
        </w:rPr>
        <w:t>»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.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مستدلین به این روایت یعنی مرحوم صدوق و مرحوم شیخ که زوجه را از قاعده کلی عفو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استثنا کردند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عفو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همه‌جا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مسقط حد قذف است الا در باب زوجه، استدلال به این روایت کردند، با این تفسیر که لا یعنی لا عفو، اینجا جای عفو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کرامت و بزرگواری نیست. 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>چون اینجا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نهاد خانواده است، به این سادگی مرد زنش را متهم کند، 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>امر ناپسندی است.</w:t>
      </w:r>
    </w:p>
    <w:p w:rsidR="008A42C4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منتها مرحوم صدوق همین اطلاقش را گرفته است، 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مرحوم شیخ این اطلاق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حمل کرده بر اینکه عفو بعد المرافعه لازم نیست. در اینجا دو محل مناقشه وجود دارد.</w:t>
      </w:r>
    </w:p>
    <w:p w:rsidR="008A42C4" w:rsidRPr="007772E7" w:rsidRDefault="008A42C4" w:rsidP="00A31503">
      <w:pPr>
        <w:pStyle w:val="Heading4"/>
        <w:ind w:firstLine="0"/>
        <w:rPr>
          <w:rFonts w:ascii="IRBadr" w:hAnsi="IRBadr" w:cs="IRBadr"/>
          <w:rtl/>
        </w:rPr>
      </w:pPr>
      <w:bookmarkStart w:id="13" w:name="_Toc427374959"/>
      <w:r w:rsidRPr="007772E7">
        <w:rPr>
          <w:rFonts w:ascii="IRBadr" w:hAnsi="IRBadr" w:cs="IRBadr"/>
          <w:rtl/>
        </w:rPr>
        <w:t>مناقشات در استدلال فوق</w:t>
      </w:r>
      <w:bookmarkEnd w:id="13"/>
    </w:p>
    <w:p w:rsidR="008A42C4" w:rsidRPr="007772E7" w:rsidRDefault="008A42C4" w:rsidP="00A31503">
      <w:pPr>
        <w:pStyle w:val="Heading4"/>
        <w:ind w:firstLine="0"/>
        <w:rPr>
          <w:rFonts w:ascii="IRBadr" w:hAnsi="IRBadr" w:cs="IRBadr"/>
          <w:rtl/>
        </w:rPr>
      </w:pPr>
      <w:bookmarkStart w:id="14" w:name="_Toc427374960"/>
      <w:r w:rsidRPr="007772E7">
        <w:rPr>
          <w:rFonts w:ascii="IRBadr" w:hAnsi="IRBadr" w:cs="IRBadr"/>
          <w:rtl/>
        </w:rPr>
        <w:t>مناقشه سندی</w:t>
      </w:r>
      <w:bookmarkEnd w:id="14"/>
    </w:p>
    <w:p w:rsidR="008A42C4" w:rsidRPr="007772E7" w:rsidRDefault="008A42C4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در اینجا مناقشاتی وجود دارد که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یکی اضمار روایت است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؛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محمد بن مسلم سئلته نگفته سئلت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اباعبدالله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یا ابا 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>جعفر (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ع).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روایات مضمر یعنی روایاتی که اولین راوی یا آخرین راوی که سائل است،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نقل‌کننده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اول است، نمی‌گوید از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چه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ک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سی سؤال کردم. امام است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یا غیر امام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؟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معلوم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نیست.</w:t>
      </w:r>
    </w:p>
    <w:p w:rsidR="008A42C4" w:rsidRPr="007772E7" w:rsidRDefault="008A42C4" w:rsidP="00A31503">
      <w:pPr>
        <w:pStyle w:val="Heading4"/>
        <w:ind w:firstLine="0"/>
        <w:rPr>
          <w:rFonts w:ascii="IRBadr" w:hAnsi="IRBadr" w:cs="IRBadr"/>
          <w:rtl/>
        </w:rPr>
      </w:pPr>
      <w:bookmarkStart w:id="15" w:name="_Toc427374961"/>
      <w:r w:rsidRPr="007772E7">
        <w:rPr>
          <w:rFonts w:ascii="IRBadr" w:hAnsi="IRBadr" w:cs="IRBadr"/>
          <w:rtl/>
        </w:rPr>
        <w:t>پاسخ از مناقشه</w:t>
      </w:r>
      <w:bookmarkEnd w:id="15"/>
    </w:p>
    <w:p w:rsidR="008A42C4" w:rsidRPr="007772E7" w:rsidRDefault="00614F6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 xml:space="preserve"> جهت مناقشه است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که جوابش خیلی واضح است. برای اینکه اضمار از سوی رجالی مثل محمد بن مسلم و براده قطعاً محل بحث نیست. مثل همان روایات باب استصحاب است که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>نیز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مضمره است.</w:t>
      </w:r>
    </w:p>
    <w:p w:rsidR="008A42C4" w:rsidRPr="007772E7" w:rsidRDefault="008A42C4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پس در مورد محمد بن مسلم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زراره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هیچ بحثی نیست که اضمار مخل نیست، قطعاً منظورشان امام است. چه مثل اینجا که گفتند عنه یا سئلته چه در آنجایی که بگویند عن احدهما،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البته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احدهما که بگویند دلالتش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قویی‌تر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8A42C4" w:rsidRPr="007772E7" w:rsidRDefault="008A42C4" w:rsidP="00A31503">
      <w:pPr>
        <w:pStyle w:val="Heading4"/>
        <w:ind w:firstLine="0"/>
        <w:rPr>
          <w:rFonts w:ascii="IRBadr" w:hAnsi="IRBadr" w:cs="IRBadr"/>
          <w:rtl/>
        </w:rPr>
      </w:pPr>
      <w:bookmarkStart w:id="16" w:name="_Toc427374962"/>
      <w:r w:rsidRPr="007772E7">
        <w:rPr>
          <w:rFonts w:ascii="IRBadr" w:hAnsi="IRBadr" w:cs="IRBadr"/>
          <w:rtl/>
        </w:rPr>
        <w:t>مناقشه در دلالت</w:t>
      </w:r>
      <w:bookmarkEnd w:id="16"/>
    </w:p>
    <w:p w:rsidR="00CA7DD6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مناقشه دوم در دلالت است. بین روایت وقتی سؤال کرد، امام فرمود لا و متعلق لا را حذف کردند. 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متعلق لا </w:t>
      </w:r>
      <w:r w:rsidR="008A42C4" w:rsidRPr="007772E7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اینجا دو احتمال دارد. یکی اینکه متعلق لا عفو باشد، لا یعنی لا تعفو یا لا عفو اینجا جای عفو نیست. اما احتمال دیگر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>ی وجود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دارد که لا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اینجا یعنی لا یجلد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نیز وجود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>.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تا قبل از این در روایت،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سؤال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از جلد مطرح بوده است. و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دلالتش این است که عفو اینجا مسقط است.</w:t>
      </w:r>
    </w:p>
    <w:p w:rsidR="00CA7DD6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در هر دو صورت معنایش این است که عفو 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>امر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پسندیده‌ای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نیست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>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منتها بنا</w:t>
      </w:r>
      <w:r w:rsidR="00772D3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بر احتمال اول می‌گوید پسندیده نیست و اثر هم ندارد، بنابر احتمال دوم می‌گوید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ازلحاظ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تکلیفی امر مستحسنی نیست.</w:t>
      </w:r>
    </w:p>
    <w:p w:rsidR="00CA7DD6" w:rsidRPr="007772E7" w:rsidRDefault="00CA7DD6" w:rsidP="00A31503">
      <w:pPr>
        <w:pStyle w:val="Heading4"/>
        <w:ind w:firstLine="0"/>
        <w:rPr>
          <w:rFonts w:ascii="IRBadr" w:hAnsi="IRBadr" w:cs="IRBadr"/>
          <w:rtl/>
        </w:rPr>
      </w:pPr>
      <w:bookmarkStart w:id="17" w:name="_Toc427374963"/>
      <w:r w:rsidRPr="007772E7">
        <w:rPr>
          <w:rFonts w:ascii="IRBadr" w:hAnsi="IRBadr" w:cs="IRBadr"/>
          <w:rtl/>
        </w:rPr>
        <w:t>احتمالات در احتمال اول</w:t>
      </w:r>
      <w:bookmarkEnd w:id="17"/>
    </w:p>
    <w:p w:rsidR="00CA7DD6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لا عفو 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را به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دو 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گونه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می‌شود معنا کرد. بگوییم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مراد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نهی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است. و یک احتمال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لا عفو یعنی نه، اینجا جای عفو نیست.</w:t>
      </w:r>
    </w:p>
    <w:p w:rsidR="00CA7DD6" w:rsidRPr="007772E7" w:rsidRDefault="00CA7DD6" w:rsidP="00A31503">
      <w:pPr>
        <w:pStyle w:val="Heading4"/>
        <w:ind w:firstLine="0"/>
        <w:rPr>
          <w:rFonts w:ascii="IRBadr" w:hAnsi="IRBadr" w:cs="IRBadr"/>
          <w:rtl/>
        </w:rPr>
      </w:pPr>
      <w:bookmarkStart w:id="18" w:name="_Toc427374964"/>
      <w:r w:rsidRPr="007772E7">
        <w:rPr>
          <w:rFonts w:ascii="IRBadr" w:hAnsi="IRBadr" w:cs="IRBadr"/>
          <w:rtl/>
        </w:rPr>
        <w:t>اتخاذ مبنا</w:t>
      </w:r>
      <w:bookmarkEnd w:id="18"/>
    </w:p>
    <w:p w:rsidR="00CA7DD6" w:rsidRPr="007772E7" w:rsidRDefault="00CA7DD6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به نظر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در اینجا مرجحی نهایی وجود نداشته باشد،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روایت مجمل خواهد ماند.</w:t>
      </w:r>
    </w:p>
    <w:p w:rsidR="00CA7DD6" w:rsidRPr="007772E7" w:rsidRDefault="00CA7DD6" w:rsidP="00A31503">
      <w:pPr>
        <w:pStyle w:val="Heading4"/>
        <w:ind w:firstLine="0"/>
        <w:rPr>
          <w:rFonts w:ascii="IRBadr" w:hAnsi="IRBadr" w:cs="IRBadr"/>
          <w:rtl/>
        </w:rPr>
      </w:pPr>
      <w:bookmarkStart w:id="19" w:name="_Toc427374965"/>
      <w:r w:rsidRPr="007772E7">
        <w:rPr>
          <w:rFonts w:ascii="IRBadr" w:hAnsi="IRBadr" w:cs="IRBadr"/>
          <w:rtl/>
        </w:rPr>
        <w:t>استدلال مرحوم شیخ</w:t>
      </w:r>
      <w:bookmarkEnd w:id="19"/>
    </w:p>
    <w:p w:rsidR="008F088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مرحوم شیخ گفته است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 xml:space="preserve"> این روایت را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A7DD6" w:rsidRPr="007772E7">
        <w:rPr>
          <w:rFonts w:ascii="IRBadr" w:hAnsi="IRBadr" w:cs="IRBadr"/>
          <w:sz w:val="28"/>
          <w:szCs w:val="28"/>
          <w:rtl/>
          <w:lang w:bidi="fa-IR"/>
        </w:rPr>
        <w:t>مقید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می‌کنیم به روایاتی که می‌گوید قبل المرافعه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ساقط‌شده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بعد المرافعه ساقط نمی‌شود.</w:t>
      </w:r>
    </w:p>
    <w:p w:rsidR="008F088E" w:rsidRPr="007772E7" w:rsidRDefault="008F088E" w:rsidP="00A31503">
      <w:pPr>
        <w:pStyle w:val="Heading4"/>
        <w:ind w:firstLine="0"/>
        <w:rPr>
          <w:rFonts w:ascii="IRBadr" w:hAnsi="IRBadr" w:cs="IRBadr"/>
          <w:rtl/>
        </w:rPr>
      </w:pPr>
      <w:bookmarkStart w:id="20" w:name="_Toc427374966"/>
      <w:r w:rsidRPr="007772E7">
        <w:rPr>
          <w:rFonts w:ascii="IRBadr" w:hAnsi="IRBadr" w:cs="IRBadr"/>
          <w:rtl/>
        </w:rPr>
        <w:t>پاسخ استدلال فوق</w:t>
      </w:r>
      <w:bookmarkEnd w:id="20"/>
    </w:p>
    <w:p w:rsidR="008F088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جوابی که از این دادند، این است که نسبت آن روایات و این روایت عموم خصوص مطلق نیست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که اطلاق این مقید به آن روایات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.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بلکه بین این روایات و آن روایات عموم خصوص من وجه است.</w:t>
      </w:r>
    </w:p>
    <w:p w:rsidR="008F088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مرحوم صدوق فرموده است، مستند به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اطلاق صحیحه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است و اینکه لا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به معنای لا تعفو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A31503" w:rsidRPr="007772E7">
        <w:rPr>
          <w:rFonts w:ascii="IRBadr" w:hAnsi="IRBadr" w:cs="IRBadr"/>
          <w:sz w:val="28"/>
          <w:szCs w:val="28"/>
          <w:rtl/>
          <w:lang w:bidi="fa-IR"/>
        </w:rPr>
        <w:t xml:space="preserve"> وجه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وجیهی دارد. منتها انصافاً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اگر فردی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احتمال لا تعفو را بر آن احتمال مقدم بدارد، احتمال ذلیل و ضعیفی است.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لذا تا اینجا در مسقطیت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ما قول سوم را پذیرفتیم.</w:t>
      </w:r>
    </w:p>
    <w:p w:rsidR="008F088E" w:rsidRPr="007772E7" w:rsidRDefault="008F088E" w:rsidP="00A31503">
      <w:pPr>
        <w:pStyle w:val="Heading4"/>
        <w:ind w:firstLine="0"/>
        <w:rPr>
          <w:rFonts w:ascii="IRBadr" w:hAnsi="IRBadr" w:cs="IRBadr"/>
          <w:rtl/>
        </w:rPr>
      </w:pPr>
      <w:bookmarkStart w:id="21" w:name="_Toc427374967"/>
      <w:r w:rsidRPr="007772E7">
        <w:rPr>
          <w:rFonts w:ascii="IRBadr" w:hAnsi="IRBadr" w:cs="IRBadr"/>
          <w:rtl/>
        </w:rPr>
        <w:t>روایتی دیگر بر مسقطیت عفو</w:t>
      </w:r>
      <w:bookmarkEnd w:id="21"/>
    </w:p>
    <w:p w:rsidR="008F088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ممکن است کسی بگوید روایت دیگر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ی داریم که می‌گوید عفو مسقط است که آن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همان روایت ابی بکر حضرمی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یعنی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روایت دهم از باب چهارم ابواب حد قذف صفحه چهارصد و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سی‌وشش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، این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مربوط به سابق است.</w:t>
      </w:r>
    </w:p>
    <w:p w:rsidR="008F088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پس همین روایت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به‌تنهایی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دلالت بر این می‌کند که عفو نافذ است.</w:t>
      </w:r>
    </w:p>
    <w:p w:rsidR="008F088E" w:rsidRPr="007772E7" w:rsidRDefault="00834B44" w:rsidP="00A31503">
      <w:pPr>
        <w:pStyle w:val="Heading4"/>
        <w:ind w:firstLine="0"/>
        <w:rPr>
          <w:rFonts w:ascii="IRBadr" w:hAnsi="IRBadr" w:cs="IRBadr"/>
          <w:rtl/>
        </w:rPr>
      </w:pPr>
      <w:bookmarkStart w:id="22" w:name="_Toc427374968"/>
      <w:r w:rsidRPr="007772E7">
        <w:rPr>
          <w:rFonts w:ascii="IRBadr" w:hAnsi="IRBadr" w:cs="IRBadr"/>
          <w:rtl/>
        </w:rPr>
        <w:lastRenderedPageBreak/>
        <w:t>اتخا</w:t>
      </w:r>
      <w:r w:rsidR="008F088E" w:rsidRPr="007772E7">
        <w:rPr>
          <w:rFonts w:ascii="IRBadr" w:hAnsi="IRBadr" w:cs="IRBadr"/>
          <w:rtl/>
        </w:rPr>
        <w:t>ذ مبنا</w:t>
      </w:r>
      <w:bookmarkEnd w:id="22"/>
    </w:p>
    <w:p w:rsidR="008F088E" w:rsidRPr="007772E7" w:rsidRDefault="00DA2CA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این استدلال چندان تمام نیست.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در طول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سند این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محمد بن یحیی، محمد بن حسین، ابن محبوب عن سیف بن عمیره تا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اینجا همه موثق هستند و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توثیق خاص دارند. اما ابی بکر حضرمی توثیق خاص ندارد. ولی دو راه برای توثیق او وجود دارد.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یک‌راه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همان راه رجال کامل الزیارات است که آقای خویی توثیق کردند، به خاطر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ایشان در رجال کامل الزیارات قرار دارد،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 هرچند این نظریه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14F69" w:rsidRPr="007772E7">
        <w:rPr>
          <w:rFonts w:ascii="IRBadr" w:hAnsi="IRBadr" w:cs="IRBadr"/>
          <w:sz w:val="28"/>
          <w:szCs w:val="28"/>
          <w:rtl/>
          <w:lang w:bidi="fa-IR"/>
        </w:rPr>
        <w:t>موردقبول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Pr="007772E7">
        <w:rPr>
          <w:rFonts w:ascii="IRBadr" w:hAnsi="IRBadr" w:cs="IRBadr"/>
          <w:sz w:val="28"/>
          <w:szCs w:val="28"/>
          <w:rtl/>
          <w:lang w:bidi="fa-IR"/>
        </w:rPr>
        <w:t>نیست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F088E" w:rsidRPr="007772E7" w:rsidRDefault="00614F69" w:rsidP="00A3150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772E7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8F088E" w:rsidRPr="007772E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A2CA9" w:rsidRPr="007772E7">
        <w:rPr>
          <w:rFonts w:ascii="IRBadr" w:hAnsi="IRBadr" w:cs="IRBadr"/>
          <w:sz w:val="28"/>
          <w:szCs w:val="28"/>
          <w:rtl/>
          <w:lang w:bidi="fa-IR"/>
        </w:rPr>
        <w:t>بنابر آن نظری که ما تقویت کردیم، ابی بکر حضرمی از این طریق توثیق می‌شود. چون مروی عنه ابن ابی عمیر است.</w:t>
      </w:r>
    </w:p>
    <w:p w:rsidR="00152670" w:rsidRPr="007772E7" w:rsidRDefault="00152670" w:rsidP="00A31503">
      <w:pPr>
        <w:bidi/>
        <w:jc w:val="both"/>
        <w:rPr>
          <w:rFonts w:ascii="IRBadr" w:hAnsi="IRBadr" w:cs="IRBadr"/>
          <w:rtl/>
          <w:lang w:bidi="fa-IR"/>
        </w:rPr>
      </w:pPr>
    </w:p>
    <w:sectPr w:rsidR="00152670" w:rsidRPr="007772E7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7E" w:rsidRDefault="00C4727E" w:rsidP="000D5800">
      <w:pPr>
        <w:spacing w:after="0" w:line="240" w:lineRule="auto"/>
      </w:pPr>
      <w:r>
        <w:separator/>
      </w:r>
    </w:p>
  </w:endnote>
  <w:endnote w:type="continuationSeparator" w:id="0">
    <w:p w:rsidR="00C4727E" w:rsidRDefault="00C4727E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altName w:val="Times New Roman"/>
    <w:charset w:val="00"/>
    <w:family w:val="auto"/>
    <w:pitch w:val="variable"/>
    <w:sig w:usb0="00000000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9" w:rsidRDefault="00DA2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70017172"/>
      <w:docPartObj>
        <w:docPartGallery w:val="Page Numbers (Bottom of Page)"/>
        <w:docPartUnique/>
      </w:docPartObj>
    </w:sdtPr>
    <w:sdtEndPr/>
    <w:sdtContent>
      <w:p w:rsidR="00A31503" w:rsidRDefault="00A315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D3E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DA2CA9" w:rsidRDefault="00DA2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9" w:rsidRDefault="00DA2C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7E" w:rsidRDefault="00C4727E" w:rsidP="00AB6AAC">
      <w:pPr>
        <w:bidi/>
        <w:spacing w:after="0" w:line="240" w:lineRule="auto"/>
      </w:pPr>
      <w:r>
        <w:separator/>
      </w:r>
    </w:p>
  </w:footnote>
  <w:footnote w:type="continuationSeparator" w:id="0">
    <w:p w:rsidR="00C4727E" w:rsidRDefault="00C4727E" w:rsidP="000D5800">
      <w:pPr>
        <w:spacing w:after="0" w:line="240" w:lineRule="auto"/>
      </w:pPr>
      <w:r>
        <w:continuationSeparator/>
      </w:r>
    </w:p>
  </w:footnote>
  <w:footnote w:id="1">
    <w:p w:rsidR="00BC6522" w:rsidRDefault="00BC652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C6522">
        <w:rPr>
          <w:rFonts w:ascii="Noor_Titr" w:hAnsi="Noor_Titr" w:cs="B Badr"/>
          <w:color w:val="000000" w:themeColor="text1"/>
          <w:rtl/>
        </w:rPr>
        <w:t>تهذ</w:t>
      </w:r>
      <w:r w:rsidR="00A31503">
        <w:rPr>
          <w:rFonts w:ascii="Noor_Titr" w:hAnsi="Noor_Titr" w:cs="B Badr"/>
          <w:color w:val="000000" w:themeColor="text1"/>
          <w:rtl/>
        </w:rPr>
        <w:t>ی</w:t>
      </w:r>
      <w:r w:rsidRPr="00BC6522">
        <w:rPr>
          <w:rFonts w:ascii="Noor_Titr" w:hAnsi="Noor_Titr" w:cs="B Badr"/>
          <w:color w:val="000000" w:themeColor="text1"/>
          <w:rtl/>
        </w:rPr>
        <w:t>ب</w:t>
      </w:r>
      <w:r w:rsidRPr="00BC6522">
        <w:rPr>
          <w:rFonts w:ascii="Noor_Titr" w:hAnsi="Noor_Titr" w:cs="B Badr"/>
          <w:color w:val="000000" w:themeColor="text1"/>
        </w:rPr>
        <w:t xml:space="preserve"> </w:t>
      </w:r>
      <w:r w:rsidRPr="00BC6522">
        <w:rPr>
          <w:rFonts w:ascii="Noor_Titr" w:hAnsi="Noor_Titr" w:cs="B Badr"/>
          <w:color w:val="000000" w:themeColor="text1"/>
          <w:rtl/>
        </w:rPr>
        <w:t>الأح</w:t>
      </w:r>
      <w:r w:rsidR="00A31503">
        <w:rPr>
          <w:rFonts w:ascii="Noor_Titr" w:hAnsi="Noor_Titr" w:cs="B Badr"/>
          <w:color w:val="000000" w:themeColor="text1"/>
          <w:rtl/>
        </w:rPr>
        <w:t>ک</w:t>
      </w:r>
      <w:r w:rsidRPr="00BC6522">
        <w:rPr>
          <w:rFonts w:ascii="Noor_Titr" w:hAnsi="Noor_Titr" w:cs="B Badr"/>
          <w:color w:val="000000" w:themeColor="text1"/>
          <w:rtl/>
        </w:rPr>
        <w:t>ام؛</w:t>
      </w:r>
      <w:r w:rsidRPr="00BC6522">
        <w:rPr>
          <w:rFonts w:ascii="Noor_Titr" w:hAnsi="Noor_Titr" w:cs="B Badr"/>
          <w:color w:val="000000" w:themeColor="text1"/>
        </w:rPr>
        <w:t xml:space="preserve"> </w:t>
      </w:r>
      <w:r w:rsidR="00A31503">
        <w:rPr>
          <w:rFonts w:ascii="Noor_Titr" w:hAnsi="Noor_Titr" w:cs="B Badr"/>
          <w:color w:val="000000" w:themeColor="text1"/>
          <w:rtl/>
        </w:rPr>
        <w:t>ج</w:t>
      </w:r>
      <w:r w:rsidRPr="00BC6522">
        <w:rPr>
          <w:rFonts w:ascii="Noor_Titr" w:hAnsi="Noor_Titr" w:cs="B Badr" w:hint="cs"/>
          <w:color w:val="000000" w:themeColor="text1"/>
          <w:rtl/>
        </w:rPr>
        <w:t>10</w:t>
      </w:r>
      <w:r w:rsidRPr="00BC6522">
        <w:rPr>
          <w:rFonts w:ascii="Noor_Titr" w:hAnsi="Noor_Titr" w:cs="B Badr"/>
          <w:color w:val="000000" w:themeColor="text1"/>
          <w:rtl/>
        </w:rPr>
        <w:t>،</w:t>
      </w:r>
      <w:r w:rsidRPr="00BC6522">
        <w:rPr>
          <w:rFonts w:ascii="Noor_Titr" w:hAnsi="Noor_Titr" w:cs="B Badr"/>
          <w:color w:val="000000" w:themeColor="text1"/>
        </w:rPr>
        <w:t xml:space="preserve"> </w:t>
      </w:r>
      <w:r w:rsidR="00A31503">
        <w:rPr>
          <w:rFonts w:ascii="Noor_Titr" w:hAnsi="Noor_Titr" w:cs="B Badr"/>
          <w:color w:val="000000" w:themeColor="text1"/>
          <w:rtl/>
        </w:rPr>
        <w:t>ص 80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9" w:rsidRDefault="00DA2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DA2CA9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0072A7C" wp14:editId="6DF59B7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502158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3" w:name="OLE_LINK1"/>
    <w:bookmarkStart w:id="24" w:name="OLE_LINK2"/>
    <w:r>
      <w:rPr>
        <w:noProof/>
        <w:lang w:bidi="fa-IR"/>
      </w:rPr>
      <w:drawing>
        <wp:inline distT="0" distB="0" distL="0" distR="0" wp14:anchorId="0259AB21" wp14:editId="4506B96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  <w:bookmarkEnd w:id="24"/>
    <w:r w:rsidR="00A31503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DA2CA9">
      <w:rPr>
        <w:rFonts w:ascii="IranNastaliq" w:hAnsi="IranNastaliq" w:cs="IranNastaliq"/>
        <w:sz w:val="40"/>
        <w:szCs w:val="40"/>
      </w:rPr>
      <w:t>810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CA9" w:rsidRDefault="00DA2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A9"/>
    <w:rsid w:val="000228A2"/>
    <w:rsid w:val="000324F1"/>
    <w:rsid w:val="00041FE0"/>
    <w:rsid w:val="00052BA3"/>
    <w:rsid w:val="0005722D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07A83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A4C62"/>
    <w:rsid w:val="003B3F09"/>
    <w:rsid w:val="003C06BF"/>
    <w:rsid w:val="003C7899"/>
    <w:rsid w:val="003D2F0A"/>
    <w:rsid w:val="003D563F"/>
    <w:rsid w:val="003E1E58"/>
    <w:rsid w:val="00405199"/>
    <w:rsid w:val="00410699"/>
    <w:rsid w:val="00415360"/>
    <w:rsid w:val="00441634"/>
    <w:rsid w:val="0044591E"/>
    <w:rsid w:val="004651D2"/>
    <w:rsid w:val="00465D26"/>
    <w:rsid w:val="004679F8"/>
    <w:rsid w:val="004B337F"/>
    <w:rsid w:val="004F3596"/>
    <w:rsid w:val="00572E2D"/>
    <w:rsid w:val="00592103"/>
    <w:rsid w:val="005941DD"/>
    <w:rsid w:val="005A545E"/>
    <w:rsid w:val="005A5862"/>
    <w:rsid w:val="005B0852"/>
    <w:rsid w:val="005C06AE"/>
    <w:rsid w:val="005E0947"/>
    <w:rsid w:val="00610C18"/>
    <w:rsid w:val="00612385"/>
    <w:rsid w:val="0061376C"/>
    <w:rsid w:val="00614F69"/>
    <w:rsid w:val="00636EFA"/>
    <w:rsid w:val="0066229C"/>
    <w:rsid w:val="0069696C"/>
    <w:rsid w:val="006A085A"/>
    <w:rsid w:val="006C723E"/>
    <w:rsid w:val="006D3A87"/>
    <w:rsid w:val="006F01B4"/>
    <w:rsid w:val="00734D59"/>
    <w:rsid w:val="0073609B"/>
    <w:rsid w:val="00752745"/>
    <w:rsid w:val="0076665E"/>
    <w:rsid w:val="00772D3E"/>
    <w:rsid w:val="007749BC"/>
    <w:rsid w:val="007772E7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34B44"/>
    <w:rsid w:val="008407A4"/>
    <w:rsid w:val="00844860"/>
    <w:rsid w:val="00845CC4"/>
    <w:rsid w:val="008644F4"/>
    <w:rsid w:val="00883733"/>
    <w:rsid w:val="008965D2"/>
    <w:rsid w:val="008A236D"/>
    <w:rsid w:val="008A42C4"/>
    <w:rsid w:val="008A61F8"/>
    <w:rsid w:val="008B565A"/>
    <w:rsid w:val="008C3414"/>
    <w:rsid w:val="008D36D5"/>
    <w:rsid w:val="008E3903"/>
    <w:rsid w:val="008F088E"/>
    <w:rsid w:val="008F63E3"/>
    <w:rsid w:val="00913C3B"/>
    <w:rsid w:val="00915509"/>
    <w:rsid w:val="00927388"/>
    <w:rsid w:val="009274FE"/>
    <w:rsid w:val="00933295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503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6AAC"/>
    <w:rsid w:val="00AC5BAE"/>
    <w:rsid w:val="00AD0304"/>
    <w:rsid w:val="00AD27BE"/>
    <w:rsid w:val="00AF0F1A"/>
    <w:rsid w:val="00B15027"/>
    <w:rsid w:val="00B21CF4"/>
    <w:rsid w:val="00B24300"/>
    <w:rsid w:val="00B5107E"/>
    <w:rsid w:val="00B63F15"/>
    <w:rsid w:val="00BB5F7E"/>
    <w:rsid w:val="00BC26F6"/>
    <w:rsid w:val="00BC4833"/>
    <w:rsid w:val="00BC6522"/>
    <w:rsid w:val="00BD3122"/>
    <w:rsid w:val="00BD40DA"/>
    <w:rsid w:val="00BF3D67"/>
    <w:rsid w:val="00C160AF"/>
    <w:rsid w:val="00C22299"/>
    <w:rsid w:val="00C25609"/>
    <w:rsid w:val="00C25BE7"/>
    <w:rsid w:val="00C262D7"/>
    <w:rsid w:val="00C26607"/>
    <w:rsid w:val="00C4727E"/>
    <w:rsid w:val="00C60D75"/>
    <w:rsid w:val="00C64CEA"/>
    <w:rsid w:val="00C73012"/>
    <w:rsid w:val="00C763DD"/>
    <w:rsid w:val="00C84FC0"/>
    <w:rsid w:val="00C9244A"/>
    <w:rsid w:val="00CA7DD6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43FA"/>
    <w:rsid w:val="00D76353"/>
    <w:rsid w:val="00DA2CA9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015E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A2C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C65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A2C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C65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14BC-99C6-42AD-9A4F-E167E55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306</TotalTime>
  <Pages>7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14</cp:revision>
  <dcterms:created xsi:type="dcterms:W3CDTF">2014-12-22T03:59:00Z</dcterms:created>
  <dcterms:modified xsi:type="dcterms:W3CDTF">2015-07-27T17:58:00Z</dcterms:modified>
</cp:coreProperties>
</file>