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14" w:rsidRPr="00F85929" w:rsidRDefault="00E23114" w:rsidP="00D4391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بسم </w:t>
      </w:r>
      <w:bookmarkEnd w:id="0"/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t>الله الرحمن الرحیم</w:t>
      </w:r>
    </w:p>
    <w:p w:rsidR="00D43917" w:rsidRPr="00F85929" w:rsidRDefault="00D43917" w:rsidP="00D43917">
      <w:pPr>
        <w:bidi/>
        <w:jc w:val="both"/>
        <w:rPr>
          <w:rFonts w:ascii="IRBadr" w:hAnsi="IRBadr" w:cs="IRBadr"/>
          <w:noProof/>
        </w:rPr>
      </w:pPr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F85929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F85929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F85929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D43917" w:rsidRPr="00F85929" w:rsidRDefault="00CF074F" w:rsidP="00D4391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6912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فرضیه ثبوت تعزیر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_Toc427376912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2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6913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_Toc427376913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2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6914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مروری بر دو قاعده سابق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_Toc427376914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2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6915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نظریه آقای تبریزی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_Toc427376915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3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6916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پاسخ به استدلال فوق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_Toc427376916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3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6917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نقش دلیل دوم در این مقام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_Toc427376917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3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6918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جمع‌بندی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_Toc427376918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4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6919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استدلالات عامه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_Toc427376919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4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D43917" w:rsidP="00D4391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6920" w:history="1">
        <w:r w:rsidRPr="00F85929">
          <w:rPr>
            <w:rStyle w:val="Hyperlink"/>
            <w:rFonts w:ascii="IRBadr" w:hAnsi="IRBadr" w:cs="IRBadr"/>
            <w:noProof/>
            <w:rtl/>
          </w:rPr>
          <w:t>مناقشه در استدلال آقای تبریزی</w:t>
        </w:r>
        <w:r w:rsidRPr="00F85929">
          <w:rPr>
            <w:rFonts w:ascii="IRBadr" w:hAnsi="IRBadr" w:cs="IRBadr"/>
            <w:noProof/>
            <w:webHidden/>
          </w:rPr>
          <w:tab/>
        </w:r>
        <w:r w:rsidRPr="00F85929">
          <w:rPr>
            <w:rFonts w:ascii="IRBadr" w:hAnsi="IRBadr" w:cs="IRBadr"/>
            <w:noProof/>
            <w:webHidden/>
          </w:rPr>
          <w:fldChar w:fldCharType="begin"/>
        </w:r>
        <w:r w:rsidRPr="00F85929">
          <w:rPr>
            <w:rFonts w:ascii="IRBadr" w:hAnsi="IRBadr" w:cs="IRBadr"/>
            <w:noProof/>
            <w:webHidden/>
          </w:rPr>
          <w:instrText xml:space="preserve"> PAGEREF _Toc427376920 \h </w:instrText>
        </w:r>
        <w:r w:rsidRPr="00F85929">
          <w:rPr>
            <w:rFonts w:ascii="IRBadr" w:hAnsi="IRBadr" w:cs="IRBadr"/>
            <w:noProof/>
            <w:webHidden/>
          </w:rPr>
        </w:r>
        <w:r w:rsidRPr="00F85929">
          <w:rPr>
            <w:rFonts w:ascii="IRBadr" w:hAnsi="IRBadr" w:cs="IRBadr"/>
            <w:noProof/>
            <w:webHidden/>
          </w:rPr>
          <w:fldChar w:fldCharType="separate"/>
        </w:r>
        <w:r w:rsidRPr="00F85929">
          <w:rPr>
            <w:rFonts w:ascii="IRBadr" w:hAnsi="IRBadr" w:cs="IRBadr"/>
            <w:noProof/>
            <w:webHidden/>
          </w:rPr>
          <w:t>5</w:t>
        </w:r>
        <w:r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6921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مناقشه اول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_Toc427376921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5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6922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تقاذف کلامی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_Toc427376922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5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6923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روایت اول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_Toc427376923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5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CF074F" w:rsidP="00D43917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6924" w:history="1">
        <w:r w:rsidR="00D43917" w:rsidRPr="00F85929">
          <w:rPr>
            <w:rStyle w:val="Hyperlink"/>
            <w:rFonts w:ascii="IRBadr" w:hAnsi="IRBadr" w:cs="IRBadr"/>
            <w:noProof/>
            <w:rtl/>
          </w:rPr>
          <w:t>روایت دوم</w:t>
        </w:r>
        <w:r w:rsidR="00D43917" w:rsidRPr="00F85929">
          <w:rPr>
            <w:rFonts w:ascii="IRBadr" w:hAnsi="IRBadr" w:cs="IRBadr"/>
            <w:noProof/>
            <w:webHidden/>
          </w:rPr>
          <w:tab/>
        </w:r>
        <w:r w:rsidR="00D43917" w:rsidRPr="00F85929">
          <w:rPr>
            <w:rFonts w:ascii="IRBadr" w:hAnsi="IRBadr" w:cs="IRBadr"/>
            <w:noProof/>
            <w:webHidden/>
          </w:rPr>
          <w:fldChar w:fldCharType="begin"/>
        </w:r>
        <w:r w:rsidR="00D43917" w:rsidRPr="00F85929">
          <w:rPr>
            <w:rFonts w:ascii="IRBadr" w:hAnsi="IRBadr" w:cs="IRBadr"/>
            <w:noProof/>
            <w:webHidden/>
          </w:rPr>
          <w:instrText xml:space="preserve"> PAGEREF _Toc427376924 \h </w:instrText>
        </w:r>
        <w:r w:rsidR="00D43917" w:rsidRPr="00F85929">
          <w:rPr>
            <w:rFonts w:ascii="IRBadr" w:hAnsi="IRBadr" w:cs="IRBadr"/>
            <w:noProof/>
            <w:webHidden/>
          </w:rPr>
        </w:r>
        <w:r w:rsidR="00D43917" w:rsidRPr="00F85929">
          <w:rPr>
            <w:rFonts w:ascii="IRBadr" w:hAnsi="IRBadr" w:cs="IRBadr"/>
            <w:noProof/>
            <w:webHidden/>
          </w:rPr>
          <w:fldChar w:fldCharType="separate"/>
        </w:r>
        <w:r w:rsidR="00D43917" w:rsidRPr="00F85929">
          <w:rPr>
            <w:rFonts w:ascii="IRBadr" w:hAnsi="IRBadr" w:cs="IRBadr"/>
            <w:noProof/>
            <w:webHidden/>
          </w:rPr>
          <w:t>6</w:t>
        </w:r>
        <w:r w:rsidR="00D43917" w:rsidRPr="00F85929">
          <w:rPr>
            <w:rFonts w:ascii="IRBadr" w:hAnsi="IRBadr" w:cs="IRBadr"/>
            <w:noProof/>
            <w:webHidden/>
          </w:rPr>
          <w:fldChar w:fldCharType="end"/>
        </w:r>
      </w:hyperlink>
    </w:p>
    <w:p w:rsidR="00D43917" w:rsidRPr="00F85929" w:rsidRDefault="00D43917" w:rsidP="00D4391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F85929" w:rsidRPr="00F85929" w:rsidRDefault="00F85929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376912"/>
      <w:r w:rsidRPr="00F85929">
        <w:rPr>
          <w:rFonts w:ascii="IRBadr" w:hAnsi="IRBadr" w:cs="IRBadr"/>
          <w:rtl/>
        </w:rPr>
        <w:br w:type="page"/>
      </w:r>
    </w:p>
    <w:p w:rsidR="00B93080" w:rsidRPr="00F85929" w:rsidRDefault="00B93080" w:rsidP="00D43917">
      <w:pPr>
        <w:pStyle w:val="Heading1"/>
        <w:rPr>
          <w:rFonts w:ascii="IRBadr" w:hAnsi="IRBadr" w:cs="IRBadr"/>
          <w:rtl/>
        </w:rPr>
      </w:pPr>
      <w:r w:rsidRPr="00F85929">
        <w:rPr>
          <w:rFonts w:ascii="IRBadr" w:hAnsi="IRBadr" w:cs="IRBadr"/>
          <w:rtl/>
        </w:rPr>
        <w:lastRenderedPageBreak/>
        <w:t>فرضیه ثبوت تعزیر</w:t>
      </w:r>
      <w:bookmarkEnd w:id="1"/>
    </w:p>
    <w:p w:rsidR="0035621B" w:rsidRPr="00F85929" w:rsidRDefault="0035621B" w:rsidP="00D43917">
      <w:pPr>
        <w:pStyle w:val="Heading1"/>
        <w:rPr>
          <w:rFonts w:ascii="IRBadr" w:hAnsi="IRBadr" w:cs="IRBadr"/>
          <w:rtl/>
        </w:rPr>
      </w:pPr>
      <w:bookmarkStart w:id="2" w:name="_Toc427376913"/>
      <w:r w:rsidRPr="00F85929">
        <w:rPr>
          <w:rFonts w:ascii="IRBadr" w:hAnsi="IRBadr" w:cs="IRBadr"/>
          <w:rtl/>
        </w:rPr>
        <w:t>مرور بحث گذشته</w:t>
      </w:r>
      <w:bookmarkEnd w:id="2"/>
    </w:p>
    <w:p w:rsidR="00B93080" w:rsidRPr="00F85929" w:rsidRDefault="0035621B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بحث در این بود که در صورت رد شدن حد قذف،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تعزیر باقی خواهد ماند؟</w:t>
      </w:r>
    </w:p>
    <w:p w:rsidR="0035621B" w:rsidRPr="00F85929" w:rsidRDefault="0035621B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تفاصیل و اقوال متفاوتی که در این زمینه وجود داشت،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موردبحث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قرار گرفت و از ناحیه طرفین وجوه تعزیر و عدم آن بررسی شد.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قبال مبنای تعزیر گفته شد؛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در اینجا قذف ساقط شد،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مقذوف مورد سب و توهین قاذف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است که این خود از موجبات تعزیر بود.</w:t>
      </w:r>
    </w:p>
    <w:p w:rsidR="0035621B" w:rsidRPr="00F85929" w:rsidRDefault="0035621B" w:rsidP="00D43917">
      <w:pPr>
        <w:pStyle w:val="Heading1"/>
        <w:rPr>
          <w:rFonts w:ascii="IRBadr" w:hAnsi="IRBadr" w:cs="IRBadr"/>
          <w:rtl/>
        </w:rPr>
      </w:pPr>
      <w:bookmarkStart w:id="3" w:name="_Toc427376914"/>
      <w:r w:rsidRPr="00F85929">
        <w:rPr>
          <w:rFonts w:ascii="IRBadr" w:hAnsi="IRBadr" w:cs="IRBadr"/>
          <w:rtl/>
        </w:rPr>
        <w:t>مروری بر دو قاعده سابق</w:t>
      </w:r>
      <w:bookmarkEnd w:id="3"/>
    </w:p>
    <w:p w:rsidR="0035621B" w:rsidRPr="00F85929" w:rsidRDefault="0035621B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سابقاً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>گفت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ه شد دو قاعده در طول هم در اینجا وجود دارد،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یک قاعده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این بود که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مطلق معاصی تعزیر دارد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که در آن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اختلاف‌نظر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و قاعده دوم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در مطلق س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ب و دشنام و افترا یعنی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معاصی‌ای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که در ارتباط با عنف دیگران است، تعزیر ثابت است.</w:t>
      </w:r>
    </w:p>
    <w:p w:rsidR="002D1E41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و یک قاعده هم که کاملاً خاص است، این است که اگر نسبت زنا یا لواط به دیگری </w:t>
      </w:r>
      <w:r w:rsidR="0035621B" w:rsidRPr="00F85929">
        <w:rPr>
          <w:rFonts w:ascii="IRBadr" w:hAnsi="IRBadr" w:cs="IRBadr"/>
          <w:sz w:val="28"/>
          <w:szCs w:val="28"/>
          <w:rtl/>
          <w:lang w:bidi="fa-IR"/>
        </w:rPr>
        <w:t>داده شد،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شامل</w:t>
      </w:r>
      <w:r w:rsidR="0035621B" w:rsidRPr="00F85929">
        <w:rPr>
          <w:rFonts w:ascii="IRBadr" w:hAnsi="IRBadr" w:cs="IRBadr"/>
          <w:sz w:val="28"/>
          <w:szCs w:val="28"/>
          <w:rtl/>
          <w:lang w:bidi="fa-IR"/>
        </w:rPr>
        <w:t xml:space="preserve"> حد خواهد بود.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مسقطات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 xml:space="preserve"> موجود قاعده سوم را کنار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می‌گذارند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 xml:space="preserve"> باز قاعده دوم در جای خود پابرجاست.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به‌عبارتی‌دیگر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حالت استحسانی دارد،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 xml:space="preserve"> اینجا دو جنبه وجود دارد،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جنبه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 xml:space="preserve"> حق الهی و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حق‌الناسی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 xml:space="preserve"> بعد از اسقاط همچنان جنبه حق الهی امر باقی است که همان موجب تعزیر خواهد بود.</w:t>
      </w:r>
    </w:p>
    <w:p w:rsidR="002D1E41" w:rsidRPr="00F85929" w:rsidRDefault="002D1E41" w:rsidP="00D43917">
      <w:pPr>
        <w:pStyle w:val="Heading2"/>
        <w:rPr>
          <w:rFonts w:ascii="IRBadr" w:hAnsi="IRBadr" w:cs="IRBadr"/>
          <w:rtl/>
        </w:rPr>
      </w:pPr>
      <w:bookmarkStart w:id="4" w:name="_Toc427376915"/>
      <w:r w:rsidRPr="00F85929">
        <w:rPr>
          <w:rFonts w:ascii="IRBadr" w:hAnsi="IRBadr" w:cs="IRBadr"/>
          <w:rtl/>
        </w:rPr>
        <w:t>نظریه آقای تبریزی</w:t>
      </w:r>
      <w:bookmarkEnd w:id="4"/>
    </w:p>
    <w:p w:rsidR="002D1E41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در باب عفو حضرت آقای تبریزی برخلاف بعضی متأخرین می‌فرمایند اگر عفو کرد حد ساقط می‌شود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اما تعزیر ثابت است. گناهی که انجام داده سر جای خودش است و موجب تعزیر </w:t>
      </w:r>
      <w:r w:rsidR="002D1E41" w:rsidRPr="00F85929">
        <w:rPr>
          <w:rFonts w:ascii="IRBadr" w:hAnsi="IRBadr" w:cs="IRBadr"/>
          <w:sz w:val="28"/>
          <w:szCs w:val="28"/>
          <w:rtl/>
          <w:lang w:bidi="fa-IR"/>
        </w:rPr>
        <w:t>خواهد شد.</w:t>
      </w:r>
    </w:p>
    <w:p w:rsidR="002D1E41" w:rsidRPr="00F85929" w:rsidRDefault="002D1E41" w:rsidP="00D43917">
      <w:pPr>
        <w:pStyle w:val="Heading2"/>
        <w:rPr>
          <w:rFonts w:ascii="IRBadr" w:hAnsi="IRBadr" w:cs="IRBadr"/>
          <w:rtl/>
        </w:rPr>
      </w:pPr>
      <w:bookmarkStart w:id="5" w:name="_Toc427376916"/>
      <w:r w:rsidRPr="00F85929">
        <w:rPr>
          <w:rFonts w:ascii="IRBadr" w:hAnsi="IRBadr" w:cs="IRBadr"/>
          <w:rtl/>
        </w:rPr>
        <w:t>پاسخ به استدلال فوق</w:t>
      </w:r>
      <w:bookmarkEnd w:id="5"/>
    </w:p>
    <w:p w:rsidR="002D1E41" w:rsidRPr="00F85929" w:rsidRDefault="002D1E41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اما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این فرمایش معمولاً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پاسخ‌داده‌شده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قرار نگرفته است.</w:t>
      </w:r>
    </w:p>
    <w:p w:rsidR="006A55F1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مقدمتاً باید توجه داشت که ما نمی‌توانیم پیش خودمان استحسان کنیم </w:t>
      </w:r>
      <w:r w:rsidR="006A55F1" w:rsidRPr="00F85929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بگوییم دو حیث دارد، یک حیث باب زنا است، یک حیث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حق‌اللهی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دارد، یک حیث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حق‌الناسی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دارد. این استحسانات مبنا و ملاک نیست،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اعتبار دارد</w:t>
      </w:r>
      <w:r w:rsidR="006A55F1" w:rsidRPr="00F85929">
        <w:rPr>
          <w:rFonts w:ascii="IRBadr" w:hAnsi="IRBadr" w:cs="IRBadr"/>
          <w:sz w:val="28"/>
          <w:szCs w:val="28"/>
          <w:rtl/>
          <w:lang w:bidi="fa-IR"/>
        </w:rPr>
        <w:t xml:space="preserve"> این است که ببینیم ادله به ما چه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را افاده می‌کند و ما چه برداشتی می‌توانیم از ادله داشته باشیم.</w:t>
      </w:r>
    </w:p>
    <w:p w:rsidR="006A55F1" w:rsidRPr="00F85929" w:rsidRDefault="006A55F1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در اینجا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دلیل و قاعده عام داریم که در هر ا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فترا و هر س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>ب و دشنام تعزیر ثابت است.</w:t>
      </w:r>
    </w:p>
    <w:p w:rsidR="00F66DD9" w:rsidRPr="00F85929" w:rsidRDefault="00F66DD9" w:rsidP="00D43917">
      <w:pPr>
        <w:pStyle w:val="Heading2"/>
        <w:rPr>
          <w:rFonts w:ascii="IRBadr" w:hAnsi="IRBadr" w:cs="IRBadr"/>
          <w:rtl/>
        </w:rPr>
      </w:pPr>
      <w:bookmarkStart w:id="6" w:name="_Toc427376917"/>
      <w:r w:rsidRPr="00F85929">
        <w:rPr>
          <w:rFonts w:ascii="IRBadr" w:hAnsi="IRBadr" w:cs="IRBadr"/>
          <w:rtl/>
        </w:rPr>
        <w:t>نقش دلیل دوم در این مقام</w:t>
      </w:r>
      <w:bookmarkEnd w:id="6"/>
    </w:p>
    <w:p w:rsidR="00F66DD9" w:rsidRPr="00F85929" w:rsidRDefault="006A55F1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در اینجا دلیلی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می‌گوید مطلق الافتراء نسبت به دیگران </w:t>
      </w:r>
      <w:r w:rsidR="00F66DD9" w:rsidRPr="00F85929">
        <w:rPr>
          <w:rFonts w:ascii="IRBadr" w:hAnsi="IRBadr" w:cs="IRBadr"/>
          <w:sz w:val="28"/>
          <w:szCs w:val="28"/>
          <w:rtl/>
          <w:lang w:bidi="fa-IR"/>
        </w:rPr>
        <w:t xml:space="preserve">موجب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>تعزیر</w:t>
      </w:r>
      <w:r w:rsidR="00F66DD9" w:rsidRPr="00F8592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، دلیلی </w:t>
      </w:r>
      <w:r w:rsidR="00F66DD9" w:rsidRPr="00F85929">
        <w:rPr>
          <w:rFonts w:ascii="IRBadr" w:hAnsi="IRBadr" w:cs="IRBadr"/>
          <w:sz w:val="28"/>
          <w:szCs w:val="28"/>
          <w:rtl/>
          <w:lang w:bidi="fa-IR"/>
        </w:rPr>
        <w:t xml:space="preserve">دیگر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می‌گوید اگر نسبت زنا بدهد، مستحق حد است. باید ببینیم دلیلی که می‌گوید، </w:t>
      </w:r>
      <w:r w:rsidR="00F66DD9" w:rsidRPr="00F85929">
        <w:rPr>
          <w:rFonts w:ascii="IRBadr" w:hAnsi="IRBadr" w:cs="IRBadr"/>
          <w:sz w:val="28"/>
          <w:szCs w:val="28"/>
          <w:rtl/>
          <w:lang w:bidi="fa-IR"/>
        </w:rPr>
        <w:t xml:space="preserve">تعزیر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>مطلق است در مطلق ثابت می‌کند،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پس‌ازآن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66DD9" w:rsidRPr="00F85929">
        <w:rPr>
          <w:rFonts w:ascii="IRBadr" w:hAnsi="IRBadr" w:cs="IRBadr"/>
          <w:sz w:val="28"/>
          <w:szCs w:val="28"/>
          <w:rtl/>
          <w:lang w:bidi="fa-IR"/>
        </w:rPr>
        <w:t>دلیل دیگری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می‌گوید، نسبت زنا موجب حد است، </w:t>
      </w:r>
      <w:r w:rsidR="00F66DD9" w:rsidRPr="00F85929">
        <w:rPr>
          <w:rFonts w:ascii="IRBadr" w:hAnsi="IRBadr" w:cs="IRBadr"/>
          <w:sz w:val="28"/>
          <w:szCs w:val="28"/>
          <w:rtl/>
          <w:lang w:bidi="fa-IR"/>
        </w:rPr>
        <w:t xml:space="preserve">دلیل دوم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تکلیف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اضافه‌ای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F66DD9" w:rsidRPr="00F85929">
        <w:rPr>
          <w:rFonts w:ascii="IRBadr" w:hAnsi="IRBadr" w:cs="IRBadr"/>
          <w:sz w:val="28"/>
          <w:szCs w:val="28"/>
          <w:rtl/>
          <w:lang w:bidi="fa-IR"/>
        </w:rPr>
        <w:t xml:space="preserve">می‌آورد یا تخصیص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="00F66DD9" w:rsidRPr="00F85929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C344B8" w:rsidRPr="00F85929" w:rsidRDefault="001D5D88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مشهور و معمول فقها می‌فرمایند این است که نه این چیز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اضافه‌ای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را نمی‌آورد. بلکه آن را تبدیل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 xml:space="preserve"> و مقید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می‌کند، نه اینکه افزون بر آن تعزیر عام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 xml:space="preserve"> به اجرای حد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344B8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درالمنظور آقای گلپایگانی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شاهد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 xml:space="preserve"> دیگری در این زمینه ذکر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 xml:space="preserve"> که مطلقاً در سیره متشرعه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 xml:space="preserve"> نیست که در موارد رمی به زنا،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 xml:space="preserve"> بر حد برای او تعزیر نیز قائل شوند.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 xml:space="preserve"> این بیان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C344B8" w:rsidRPr="00F85929">
        <w:rPr>
          <w:rFonts w:ascii="IRBadr" w:hAnsi="IRBadr" w:cs="IRBadr"/>
          <w:sz w:val="28"/>
          <w:szCs w:val="28"/>
          <w:rtl/>
          <w:lang w:bidi="fa-IR"/>
        </w:rPr>
        <w:t xml:space="preserve"> شاهد خوبی بر این باشد که در اینجا تخصیص صورت گرفته است.</w:t>
      </w:r>
    </w:p>
    <w:p w:rsidR="00C344B8" w:rsidRPr="00F85929" w:rsidRDefault="001D5D88" w:rsidP="00D43917">
      <w:pPr>
        <w:pStyle w:val="Heading2"/>
        <w:rPr>
          <w:rFonts w:ascii="IRBadr" w:hAnsi="IRBadr" w:cs="IRBadr"/>
          <w:rtl/>
        </w:rPr>
      </w:pPr>
      <w:bookmarkStart w:id="7" w:name="_Toc427376918"/>
      <w:r w:rsidRPr="00F85929">
        <w:rPr>
          <w:rFonts w:ascii="IRBadr" w:hAnsi="IRBadr" w:cs="IRBadr"/>
          <w:rtl/>
        </w:rPr>
        <w:t>جمع‌بندی</w:t>
      </w:r>
      <w:bookmarkEnd w:id="7"/>
    </w:p>
    <w:p w:rsidR="00C344B8" w:rsidRPr="00F85929" w:rsidRDefault="00C344B8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به همین جهت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این عنوان کلی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در اینجا سر جای خود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باقی نیست.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به‌عبارتی‌دیگر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در نسبت زنا مطلق التعزیر مبدل به امر خاصی شده است.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در اینجا وقتی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به‌موجب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مسقط عفو حد ساقط شد،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ثبوت تعزیر نیازمند به دلیل هستیم که آن دلیل مفقود است و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مبنی بر برخی استحسانات است.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پس عفو مسقط حد است و وقتی حد ساقط شد دلیلی بر این تعزیر نداریم. این مطلبی است که فرمودند و ما به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قبول کردیم و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تا این قسمت از استدلال صحیح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27C51" w:rsidRPr="00F85929" w:rsidRDefault="00D27C51" w:rsidP="00D43917">
      <w:pPr>
        <w:pStyle w:val="Heading2"/>
        <w:rPr>
          <w:rFonts w:ascii="IRBadr" w:hAnsi="IRBadr" w:cs="IRBadr"/>
          <w:rtl/>
        </w:rPr>
      </w:pPr>
      <w:bookmarkStart w:id="8" w:name="_Toc427376919"/>
      <w:r w:rsidRPr="00F85929">
        <w:rPr>
          <w:rFonts w:ascii="IRBadr" w:hAnsi="IRBadr" w:cs="IRBadr"/>
          <w:rtl/>
        </w:rPr>
        <w:t>استدلالات عامه</w:t>
      </w:r>
      <w:bookmarkEnd w:id="8"/>
    </w:p>
    <w:p w:rsidR="00FA05F4" w:rsidRPr="00F85929" w:rsidRDefault="00D27C51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سایر استدلالات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اعتبارات است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باید ببینیم دلیل شرعی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چه چیزی را ارائه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اگر در مقابل فقیه اهل سنت قرار بگیریم توان استدلال فلسفی و فقهی برای پاسخ به این استحسانات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راداریم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A05F4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حضرت آقای تبریزی حفظه الله در خصوص عفو تعبیر خوبی دارند.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عفو که </w:t>
      </w:r>
      <w:r w:rsidR="00D27C51" w:rsidRPr="00F85929">
        <w:rPr>
          <w:rFonts w:ascii="IRBadr" w:hAnsi="IRBadr" w:cs="IRBadr"/>
          <w:sz w:val="28"/>
          <w:szCs w:val="28"/>
          <w:rtl/>
          <w:lang w:bidi="fa-IR"/>
        </w:rPr>
        <w:t>ثابت شد،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آن معصیت سر جای خودش باقی است،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گناه کرده است</w:t>
      </w:r>
      <w:r w:rsidR="00D27C51" w:rsidRPr="00F85929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این معصیت در جای خودش است </w:t>
      </w:r>
      <w:r w:rsidR="00D27C51" w:rsidRPr="00F85929">
        <w:rPr>
          <w:rFonts w:ascii="IRBadr" w:hAnsi="IRBadr" w:cs="IRBadr"/>
          <w:sz w:val="28"/>
          <w:szCs w:val="28"/>
          <w:rtl/>
          <w:lang w:bidi="fa-IR"/>
        </w:rPr>
        <w:t xml:space="preserve">و تعزیر در قبال گناه امری ثابت است.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بنابراین بحث ما در این نیست</w:t>
      </w:r>
      <w:r w:rsidR="00D27C51" w:rsidRPr="00F85929">
        <w:rPr>
          <w:rFonts w:ascii="IRBadr" w:hAnsi="IRBadr" w:cs="IRBadr"/>
          <w:sz w:val="28"/>
          <w:szCs w:val="28"/>
          <w:rtl/>
          <w:lang w:bidi="fa-IR"/>
        </w:rPr>
        <w:t xml:space="preserve"> که این امر گناه بوده یا گناه نبوده است؟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بله گن</w:t>
      </w:r>
      <w:r w:rsidR="00D27C51" w:rsidRPr="00F85929">
        <w:rPr>
          <w:rFonts w:ascii="IRBadr" w:hAnsi="IRBadr" w:cs="IRBadr"/>
          <w:sz w:val="28"/>
          <w:szCs w:val="28"/>
          <w:rtl/>
          <w:lang w:bidi="fa-IR"/>
        </w:rPr>
        <w:t xml:space="preserve">اه است. این فرض را قوی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="00D27C51" w:rsidRPr="00F8592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مثلاً اگر کسی برود پیش حاکم و نسبت زنا بدهد و بعد بینه تکمیل بشود، حد قذف نیست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گناه نکرده است، اما اگر به غیر ح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>اکم باشد، یا نتواند شاهد بیاورد یا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بینه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را تمام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کند گناه کرده است.</w:t>
      </w:r>
    </w:p>
    <w:p w:rsidR="00FA05F4" w:rsidRPr="00F85929" w:rsidRDefault="00FA05F4" w:rsidP="00D43917">
      <w:pPr>
        <w:pStyle w:val="Heading3"/>
        <w:rPr>
          <w:rFonts w:ascii="IRBadr" w:hAnsi="IRBadr" w:cs="IRBadr"/>
          <w:rtl/>
        </w:rPr>
      </w:pPr>
      <w:bookmarkStart w:id="9" w:name="_Toc427376920"/>
      <w:r w:rsidRPr="00F85929">
        <w:rPr>
          <w:rFonts w:ascii="IRBadr" w:hAnsi="IRBadr" w:cs="IRBadr"/>
          <w:rtl/>
        </w:rPr>
        <w:t>مناقشه در استدلال آقای تبریزی</w:t>
      </w:r>
      <w:bookmarkEnd w:id="9"/>
    </w:p>
    <w:p w:rsidR="00FA05F4" w:rsidRPr="00F85929" w:rsidRDefault="00FA05F4" w:rsidP="00D43917">
      <w:pPr>
        <w:pStyle w:val="Heading3"/>
        <w:rPr>
          <w:rFonts w:ascii="IRBadr" w:hAnsi="IRBadr" w:cs="IRBadr"/>
          <w:rtl/>
        </w:rPr>
      </w:pPr>
      <w:bookmarkStart w:id="10" w:name="_Toc427376921"/>
      <w:r w:rsidRPr="00F85929">
        <w:rPr>
          <w:rFonts w:ascii="IRBadr" w:hAnsi="IRBadr" w:cs="IRBadr"/>
          <w:rtl/>
        </w:rPr>
        <w:t>مناقشه اول</w:t>
      </w:r>
      <w:bookmarkEnd w:id="10"/>
    </w:p>
    <w:p w:rsidR="00FA05F4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این گناه بودن و نبودن احتیاج به عفو ندارد،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 به هنگام نسبت دادن مرتکب گناه شده است و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این وجهی که شما در عفو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می‌گویید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در هنگام عمل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گناه بوده است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>.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گناه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در ظرف خودش گناه نیست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و ممکن است تبعاتش را پاک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بالاخره این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در ظرف خودش گناه است.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آن وجه اختصاص به عفو ندارد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A05F4" w:rsidRPr="00F85929" w:rsidRDefault="00FA05F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لذا تعزیر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تابع این نیست که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گناه بوده یا نبوده است.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تابع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مطلقاً می‌گوید تعزیر است ولی در نسبت زنا تخصیص خورده است.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و در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>اینجا عامی وجود ندارد که ما بخواهیم به آن تمسک کنیم.</w:t>
      </w:r>
    </w:p>
    <w:p w:rsidR="00FA05F4" w:rsidRPr="00F85929" w:rsidRDefault="00FA05F4" w:rsidP="00D43917">
      <w:pPr>
        <w:pStyle w:val="Heading4"/>
        <w:ind w:firstLine="0"/>
        <w:rPr>
          <w:rFonts w:ascii="IRBadr" w:hAnsi="IRBadr" w:cs="IRBadr"/>
          <w:rtl/>
        </w:rPr>
      </w:pPr>
      <w:bookmarkStart w:id="11" w:name="_Toc427376922"/>
      <w:r w:rsidRPr="00F85929">
        <w:rPr>
          <w:rFonts w:ascii="IRBadr" w:hAnsi="IRBadr" w:cs="IRBadr"/>
          <w:rtl/>
        </w:rPr>
        <w:t>تقاذف کلامی</w:t>
      </w:r>
      <w:bookmarkEnd w:id="11"/>
    </w:p>
    <w:p w:rsidR="00FA05F4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مسئله پنجم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اگر دو نفر تقاذف بکنند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>یا شخصی دیگری را به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زنا نسبت بدهد، او هم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مقابله‌به‌مثل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بکند.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در روایت داریم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این است که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قصاصی در کلام نیست.</w:t>
      </w:r>
    </w:p>
    <w:p w:rsidR="00FA05F4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در کلام قصاص نیست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و لذا هر دو گناه کردند.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 طبق آیه شریفه در صورت تقاذف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>باید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هر دو حد بخورند.</w:t>
      </w:r>
    </w:p>
    <w:p w:rsidR="00AC38A1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وقتی تقاذف شد، </w:t>
      </w:r>
      <w:r w:rsidR="00FA05F4" w:rsidRPr="00F85929">
        <w:rPr>
          <w:rFonts w:ascii="IRBadr" w:hAnsi="IRBadr" w:cs="IRBadr"/>
          <w:sz w:val="28"/>
          <w:szCs w:val="28"/>
          <w:rtl/>
          <w:lang w:bidi="fa-IR"/>
        </w:rPr>
        <w:t xml:space="preserve">از هر دو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حد ساقط می‌شود و هر دو تعزیر می‌شوند.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پس قاعده اولیه در تقاذف این است هر دو حد بخورند، اما دو روایت داریم که حد را ساقط کرده است. این دو روایت در ابواب حد قذف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باب هیجده، حدیث اول 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و دوم، صفحه چهارصد و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پنجاه‌ویک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C38A1" w:rsidRPr="00F85929" w:rsidRDefault="00AC38A1" w:rsidP="00D43917">
      <w:pPr>
        <w:pStyle w:val="Heading4"/>
        <w:ind w:firstLine="0"/>
        <w:rPr>
          <w:rFonts w:ascii="IRBadr" w:hAnsi="IRBadr" w:cs="IRBadr"/>
          <w:rtl/>
        </w:rPr>
      </w:pPr>
      <w:bookmarkStart w:id="12" w:name="_Toc427376923"/>
      <w:r w:rsidRPr="00F85929">
        <w:rPr>
          <w:rFonts w:ascii="IRBadr" w:hAnsi="IRBadr" w:cs="IRBadr"/>
          <w:rtl/>
        </w:rPr>
        <w:t>روایت اول</w:t>
      </w:r>
      <w:bookmarkEnd w:id="12"/>
    </w:p>
    <w:p w:rsidR="001D5D88" w:rsidRPr="00F85929" w:rsidRDefault="001D5D88" w:rsidP="00D4391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F8592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 xml:space="preserve">«عَلِی بْنُ إِبْرَاهِیمَ عَنْ مُحَمَّدِ بْنِ عِیسَی عَنْ یونُسَ عَنْ عَبْدِ اللَّهِ بْنِ سِنَانٍ قَالَ: سَأَلْتُ أَبَا عَبْدِ اللَّهِ ع- عَنْ رَجُلَینِ افْتَرَی کلُّ وَاحِدٍ مِنْهُمَا عَلَی صَاحِبِهِ فَقَالَ یدْرَأُ عَنْهُمَا الْحَدُّ وَ یعَزَّرَانِ.» </w:t>
      </w:r>
      <w:r w:rsidRPr="00F85929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AC38A1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حد از 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‌ها برداشته می‌شود و تعزیر می‌شوند. از اینکه می‌گوید حد برداشته می‌شود، معلوم می‌شود مطلق افترا نیست که حد دارد، افترای نسبت 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زنا حد دارد.</w:t>
      </w:r>
    </w:p>
    <w:p w:rsidR="00AC38A1" w:rsidRPr="00F85929" w:rsidRDefault="00E23114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سند این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 روایت را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معمولاً تعبیر به صحیحه موثقه کردند و ما در دو جهتش بحث داریم که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ابراهیم بن هاشم 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تصحیح کردیم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>.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اما راجع به محمد بن عیسی بن عبید یقطینی مفصل بحث کردیم 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>که در قبال او چند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 موجود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است و گفتیم محمد بن عیسی بن عبید یقطینی ضمن اینکه 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فرد خوبی است ولی اگر از یونس نقل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کند، به دلیل خاصی </w:t>
      </w:r>
      <w:r w:rsidR="00AC38A1" w:rsidRPr="00F85929">
        <w:rPr>
          <w:rFonts w:ascii="IRBadr" w:hAnsi="IRBadr" w:cs="IRBadr"/>
          <w:sz w:val="28"/>
          <w:szCs w:val="28"/>
          <w:rtl/>
          <w:lang w:bidi="fa-IR"/>
        </w:rPr>
        <w:t xml:space="preserve">نمی‌شود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به روایتش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تمسک کرد.</w:t>
      </w:r>
    </w:p>
    <w:p w:rsidR="00AC38A1" w:rsidRPr="00F85929" w:rsidRDefault="00AC38A1" w:rsidP="00D43917">
      <w:pPr>
        <w:pStyle w:val="Heading4"/>
        <w:ind w:firstLine="0"/>
        <w:rPr>
          <w:rFonts w:ascii="IRBadr" w:hAnsi="IRBadr" w:cs="IRBadr"/>
          <w:rtl/>
        </w:rPr>
      </w:pPr>
      <w:bookmarkStart w:id="13" w:name="_Toc427376924"/>
      <w:r w:rsidRPr="00F85929">
        <w:rPr>
          <w:rFonts w:ascii="IRBadr" w:hAnsi="IRBadr" w:cs="IRBadr"/>
          <w:rtl/>
        </w:rPr>
        <w:t>روایت دوم</w:t>
      </w:r>
      <w:bookmarkEnd w:id="13"/>
    </w:p>
    <w:p w:rsidR="00AC38A1" w:rsidRPr="00F85929" w:rsidRDefault="00AC38A1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>روایت دوم روایتی معتبر است که؛</w:t>
      </w:r>
    </w:p>
    <w:p w:rsidR="001D5D88" w:rsidRPr="00F85929" w:rsidRDefault="001D5D88" w:rsidP="00D4391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F8592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«مُحَمَّدُ بْنُ یحْیی عَنْ أَحْمَدَ بْنِ مُحَمَّدِ بْنِ عِیسَی عَنِ ابْنِ مَحْبُوبٍ عَنْ أَبِی وَلَّادٍ الْحَنَّاطِ قَالَ سَمِعْتُ أَبَا عَبْدِ اللَّهِ ع یقُولُ أُتِی </w:t>
      </w:r>
      <w:r w:rsidR="00F8592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F8592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بِرَجُلَینِ قَدْ قَذَفَ کلُّ وَاحِدٍ مِنْهُمَا صَاحِبَهُ بِالزِّنَی فِی بَدَنِهِ فَدَرَأَ عَنْهُمَا الْحَدَّ وَ عَزَّرَهُمَا.» </w:t>
      </w:r>
      <w:r w:rsidRPr="00F85929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1D5D88" w:rsidRPr="00F85929" w:rsidRDefault="001D5D88" w:rsidP="00D43917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AC38A1" w:rsidRPr="00F85929" w:rsidRDefault="00AC38A1" w:rsidP="00D4391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دو مردی را 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خدمت </w:t>
      </w:r>
      <w:r w:rsidR="00F85929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ع) آوردند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که هر </w:t>
      </w:r>
      <w:r w:rsidR="001D5D88" w:rsidRPr="00F85929">
        <w:rPr>
          <w:rFonts w:ascii="IRBadr" w:hAnsi="IRBadr" w:cs="IRBadr"/>
          <w:sz w:val="28"/>
          <w:szCs w:val="28"/>
          <w:rtl/>
          <w:lang w:bidi="fa-IR"/>
        </w:rPr>
        <w:t>یکدیگری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را نسبت به زنا داده بود. 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حضرت د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>رع حد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 xml:space="preserve"> نمود</w:t>
      </w:r>
      <w:r w:rsidR="00E23114" w:rsidRPr="00F85929">
        <w:rPr>
          <w:rFonts w:ascii="IRBadr" w:hAnsi="IRBadr" w:cs="IRBadr"/>
          <w:sz w:val="28"/>
          <w:szCs w:val="28"/>
          <w:rtl/>
          <w:lang w:bidi="fa-IR"/>
        </w:rPr>
        <w:t xml:space="preserve"> و تعزیر کرد</w:t>
      </w:r>
      <w:r w:rsidRPr="00F8592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F85929" w:rsidRDefault="00152670" w:rsidP="00D43917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F85929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4F" w:rsidRDefault="00CF074F" w:rsidP="000D5800">
      <w:pPr>
        <w:spacing w:after="0" w:line="240" w:lineRule="auto"/>
      </w:pPr>
      <w:r>
        <w:separator/>
      </w:r>
    </w:p>
  </w:endnote>
  <w:endnote w:type="continuationSeparator" w:id="0">
    <w:p w:rsidR="00CF074F" w:rsidRDefault="00CF074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17" w:rsidRDefault="00D43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7490694"/>
      <w:docPartObj>
        <w:docPartGallery w:val="Page Numbers (Bottom of Page)"/>
        <w:docPartUnique/>
      </w:docPartObj>
    </w:sdtPr>
    <w:sdtEndPr/>
    <w:sdtContent>
      <w:p w:rsidR="00D43917" w:rsidRDefault="00D43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92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43917" w:rsidRDefault="00D439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17" w:rsidRDefault="00D43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4F" w:rsidRDefault="00CF074F" w:rsidP="00D43917">
      <w:pPr>
        <w:bidi/>
        <w:spacing w:after="0" w:line="240" w:lineRule="auto"/>
      </w:pPr>
      <w:r>
        <w:separator/>
      </w:r>
    </w:p>
  </w:footnote>
  <w:footnote w:type="continuationSeparator" w:id="0">
    <w:p w:rsidR="00CF074F" w:rsidRDefault="00CF074F" w:rsidP="000D5800">
      <w:pPr>
        <w:spacing w:after="0" w:line="240" w:lineRule="auto"/>
      </w:pPr>
      <w:r>
        <w:continuationSeparator/>
      </w:r>
    </w:p>
  </w:footnote>
  <w:footnote w:id="1">
    <w:p w:rsidR="001D5D88" w:rsidRDefault="001D5D8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D5D88">
        <w:rPr>
          <w:rFonts w:ascii="Noor_Titr" w:hAnsi="Noor_Titr" w:cs="B Badr" w:hint="cs"/>
          <w:color w:val="000000" w:themeColor="text1"/>
          <w:rtl/>
        </w:rPr>
        <w:t>ال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1D5D88">
        <w:rPr>
          <w:rFonts w:ascii="Noor_Titr" w:hAnsi="Noor_Titr" w:cs="B Badr" w:hint="cs"/>
          <w:color w:val="000000" w:themeColor="text1"/>
          <w:rtl/>
        </w:rPr>
        <w:t>اف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1D5D8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1D5D88">
        <w:rPr>
          <w:rFonts w:ascii="Noor_Titr" w:hAnsi="Noor_Titr" w:cs="B Badr" w:hint="cs"/>
          <w:color w:val="000000" w:themeColor="text1"/>
          <w:rtl/>
        </w:rPr>
        <w:t xml:space="preserve">ة)؛ </w:t>
      </w:r>
      <w:r>
        <w:rPr>
          <w:rFonts w:ascii="Noor_Titr" w:hAnsi="Noor_Titr" w:cs="B Badr"/>
          <w:color w:val="000000" w:themeColor="text1"/>
          <w:rtl/>
        </w:rPr>
        <w:t>ج 7</w:t>
      </w:r>
      <w:r w:rsidRPr="001D5D88">
        <w:rPr>
          <w:rFonts w:ascii="Noor_Titr" w:hAnsi="Noor_Titr" w:cs="B Badr" w:hint="cs"/>
          <w:color w:val="000000" w:themeColor="text1"/>
          <w:rtl/>
        </w:rPr>
        <w:t>، ص: 240</w:t>
      </w:r>
    </w:p>
  </w:footnote>
  <w:footnote w:id="2">
    <w:p w:rsidR="001D5D88" w:rsidRDefault="001D5D8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D5D88">
        <w:rPr>
          <w:rFonts w:ascii="Noor_Titr" w:hAnsi="Noor_Titr" w:cs="B Badr" w:hint="cs"/>
          <w:color w:val="000000" w:themeColor="text1"/>
          <w:rtl/>
        </w:rPr>
        <w:t>ال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1D5D88">
        <w:rPr>
          <w:rFonts w:ascii="Noor_Titr" w:hAnsi="Noor_Titr" w:cs="B Badr" w:hint="cs"/>
          <w:color w:val="000000" w:themeColor="text1"/>
          <w:rtl/>
        </w:rPr>
        <w:t>اف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1D5D8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1D5D88">
        <w:rPr>
          <w:rFonts w:ascii="Noor_Titr" w:hAnsi="Noor_Titr" w:cs="B Badr" w:hint="cs"/>
          <w:color w:val="000000" w:themeColor="text1"/>
          <w:rtl/>
        </w:rPr>
        <w:t xml:space="preserve">ة)؛ </w:t>
      </w:r>
      <w:r>
        <w:rPr>
          <w:rFonts w:ascii="Noor_Titr" w:hAnsi="Noor_Titr" w:cs="B Badr"/>
          <w:color w:val="000000" w:themeColor="text1"/>
          <w:rtl/>
        </w:rPr>
        <w:t>ج 7</w:t>
      </w:r>
      <w:r w:rsidRPr="001D5D88">
        <w:rPr>
          <w:rFonts w:ascii="Noor_Titr" w:hAnsi="Noor_Titr" w:cs="B Badr" w:hint="cs"/>
          <w:color w:val="000000" w:themeColor="text1"/>
          <w:rtl/>
        </w:rPr>
        <w:t>، ص: 242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17" w:rsidRDefault="00D43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E23114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DA492A" wp14:editId="2E356FF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74EED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5314B71D" wp14:editId="5CC1AB5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1D5D88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23114">
      <w:rPr>
        <w:rFonts w:ascii="IranNastaliq" w:hAnsi="IranNastaliq" w:cs="IranNastaliq" w:hint="cs"/>
        <w:sz w:val="40"/>
        <w:szCs w:val="40"/>
        <w:rtl/>
      </w:rPr>
      <w:t>812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17" w:rsidRDefault="00D43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14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027C"/>
    <w:rsid w:val="001712D6"/>
    <w:rsid w:val="001757C8"/>
    <w:rsid w:val="00177934"/>
    <w:rsid w:val="00192A6A"/>
    <w:rsid w:val="00197CDD"/>
    <w:rsid w:val="001A2CCB"/>
    <w:rsid w:val="001C367D"/>
    <w:rsid w:val="001D24F8"/>
    <w:rsid w:val="001D542D"/>
    <w:rsid w:val="001D5D8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1E41"/>
    <w:rsid w:val="002D49E4"/>
    <w:rsid w:val="002E450B"/>
    <w:rsid w:val="002E73F9"/>
    <w:rsid w:val="002F05B9"/>
    <w:rsid w:val="00340BA3"/>
    <w:rsid w:val="0035621B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5E4D78"/>
    <w:rsid w:val="00610C18"/>
    <w:rsid w:val="00612385"/>
    <w:rsid w:val="0061376C"/>
    <w:rsid w:val="00636EFA"/>
    <w:rsid w:val="0066229C"/>
    <w:rsid w:val="0069696C"/>
    <w:rsid w:val="006A085A"/>
    <w:rsid w:val="006A55F1"/>
    <w:rsid w:val="006D3A87"/>
    <w:rsid w:val="006F01B4"/>
    <w:rsid w:val="007342FD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2A1B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66B2C"/>
    <w:rsid w:val="00980643"/>
    <w:rsid w:val="009B46BC"/>
    <w:rsid w:val="009B61C3"/>
    <w:rsid w:val="009C7B4F"/>
    <w:rsid w:val="009D77DD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38A1"/>
    <w:rsid w:val="00AD0304"/>
    <w:rsid w:val="00AD27BE"/>
    <w:rsid w:val="00AF0F1A"/>
    <w:rsid w:val="00B15027"/>
    <w:rsid w:val="00B21CF4"/>
    <w:rsid w:val="00B24300"/>
    <w:rsid w:val="00B617AA"/>
    <w:rsid w:val="00B63F15"/>
    <w:rsid w:val="00B93080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44B8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074F"/>
    <w:rsid w:val="00CF42E2"/>
    <w:rsid w:val="00CF7916"/>
    <w:rsid w:val="00D158F3"/>
    <w:rsid w:val="00D27C51"/>
    <w:rsid w:val="00D3665C"/>
    <w:rsid w:val="00D4199E"/>
    <w:rsid w:val="00D43917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1C58"/>
    <w:rsid w:val="00E0639C"/>
    <w:rsid w:val="00E067E6"/>
    <w:rsid w:val="00E12531"/>
    <w:rsid w:val="00E143B0"/>
    <w:rsid w:val="00E23114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6DD9"/>
    <w:rsid w:val="00F67976"/>
    <w:rsid w:val="00F70BE1"/>
    <w:rsid w:val="00F85929"/>
    <w:rsid w:val="00FA05F4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231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D5D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231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D5D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E8AF-9B91-49BF-8BB0-45F2FED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337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22</cp:revision>
  <dcterms:created xsi:type="dcterms:W3CDTF">2014-12-22T03:59:00Z</dcterms:created>
  <dcterms:modified xsi:type="dcterms:W3CDTF">2015-07-27T18:17:00Z</dcterms:modified>
</cp:coreProperties>
</file>