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B" w:rsidRPr="00FA601A" w:rsidRDefault="00FE3E01" w:rsidP="008E101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FA601A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876BFB" w:rsidRPr="00FA60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876BFB" w:rsidRPr="00FA601A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8E1018" w:rsidRPr="00FA601A" w:rsidRDefault="008E1018" w:rsidP="008E1018">
      <w:pPr>
        <w:bidi/>
        <w:jc w:val="both"/>
        <w:rPr>
          <w:rFonts w:ascii="IRBadr" w:hAnsi="IRBadr" w:cs="IRBadr"/>
          <w:noProof/>
        </w:rPr>
      </w:pPr>
      <w:r w:rsidRPr="00FA601A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FA601A">
        <w:rPr>
          <w:rFonts w:ascii="IRBadr" w:hAnsi="IRBadr" w:cs="IRBadr"/>
          <w:b/>
          <w:bCs/>
          <w:sz w:val="28"/>
          <w:szCs w:val="28"/>
          <w:lang w:bidi="fa-IR"/>
        </w:rPr>
        <w:fldChar w:fldCharType="begin"/>
      </w:r>
      <w:r w:rsidRPr="00FA601A">
        <w:rPr>
          <w:rFonts w:ascii="IRBadr" w:hAnsi="IRBadr" w:cs="IRBadr"/>
          <w:b/>
          <w:bCs/>
          <w:sz w:val="28"/>
          <w:szCs w:val="28"/>
          <w:lang w:bidi="fa-IR"/>
        </w:rPr>
        <w:instrText xml:space="preserve"> TOC \o "1-4" \h \z \u </w:instrText>
      </w:r>
      <w:r w:rsidRPr="00FA601A">
        <w:rPr>
          <w:rFonts w:ascii="IRBadr" w:hAnsi="IRBadr" w:cs="IRBadr"/>
          <w:b/>
          <w:bCs/>
          <w:sz w:val="28"/>
          <w:szCs w:val="28"/>
          <w:lang w:bidi="fa-IR"/>
        </w:rPr>
        <w:fldChar w:fldCharType="separate"/>
      </w:r>
    </w:p>
    <w:p w:rsidR="008E1018" w:rsidRPr="00FA601A" w:rsidRDefault="00323B89" w:rsidP="008E1018">
      <w:pPr>
        <w:pStyle w:val="TOC1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449994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سب النبی (ص)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_Toc427449994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2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1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449995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_Toc427449995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2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449996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صور مطرحه در این مقام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_Toc427449996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2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449997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روایتی در این باب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_Toc427449997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3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449998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ادله تقیه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_Toc427449998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3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449999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ادله نفی ضرر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_Toc427449999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3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2"/>
        <w:tabs>
          <w:tab w:val="right" w:leader="dot" w:pos="9350"/>
        </w:tabs>
        <w:jc w:val="left"/>
        <w:rPr>
          <w:rFonts w:ascii="IRBadr" w:hAnsi="IRBadr" w:cs="IRBadr"/>
          <w:noProof/>
          <w:szCs w:val="22"/>
        </w:rPr>
      </w:pPr>
      <w:hyperlink w:anchor="_Toc427450000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دلیل نفی حرج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_Toc427450000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4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3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450001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اقتضای قواعد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_Toc427450001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4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3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450002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_Toc427450002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4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450003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عناوین ثانوی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_Toc427450003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5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323B89" w:rsidP="008E1018">
      <w:pPr>
        <w:pStyle w:val="TOC4"/>
        <w:tabs>
          <w:tab w:val="right" w:leader="dot" w:pos="9350"/>
        </w:tabs>
        <w:jc w:val="left"/>
        <w:rPr>
          <w:rFonts w:ascii="IRBadr" w:eastAsiaTheme="minorEastAsia" w:hAnsi="IRBadr" w:cs="IRBadr"/>
          <w:noProof/>
          <w:szCs w:val="22"/>
        </w:rPr>
      </w:pPr>
      <w:hyperlink w:anchor="_Toc427450004" w:history="1">
        <w:r w:rsidR="008E1018" w:rsidRPr="00FA601A">
          <w:rPr>
            <w:rStyle w:val="Hyperlink"/>
            <w:rFonts w:ascii="IRBadr" w:hAnsi="IRBadr" w:cs="IRBadr"/>
            <w:noProof/>
            <w:rtl/>
          </w:rPr>
          <w:t>فرض احتمال در این باب</w:t>
        </w:r>
        <w:r w:rsidR="008E1018" w:rsidRPr="00FA601A">
          <w:rPr>
            <w:rFonts w:ascii="IRBadr" w:hAnsi="IRBadr" w:cs="IRBadr"/>
            <w:noProof/>
            <w:webHidden/>
          </w:rPr>
          <w:tab/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E1018" w:rsidRPr="00FA601A">
          <w:rPr>
            <w:rFonts w:ascii="IRBadr" w:hAnsi="IRBadr" w:cs="IRBadr"/>
            <w:noProof/>
            <w:webHidden/>
          </w:rPr>
          <w:instrText xml:space="preserve"> PAGEREF _Toc427450004 \h </w:instrText>
        </w:r>
        <w:r w:rsidR="008E1018" w:rsidRPr="00FA601A">
          <w:rPr>
            <w:rStyle w:val="Hyperlink"/>
            <w:rFonts w:ascii="IRBadr" w:hAnsi="IRBadr" w:cs="IRBadr"/>
            <w:noProof/>
            <w:rtl/>
          </w:rPr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E1018" w:rsidRPr="00FA601A">
          <w:rPr>
            <w:rFonts w:ascii="IRBadr" w:hAnsi="IRBadr" w:cs="IRBadr"/>
            <w:noProof/>
            <w:webHidden/>
          </w:rPr>
          <w:t>5</w:t>
        </w:r>
        <w:r w:rsidR="008E1018" w:rsidRPr="00FA601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E1018" w:rsidRPr="00FA601A" w:rsidRDefault="008E1018" w:rsidP="008E1018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FA601A">
        <w:rPr>
          <w:rFonts w:ascii="IRBadr" w:hAnsi="IRBadr" w:cs="IRBadr"/>
          <w:b/>
          <w:bCs/>
          <w:sz w:val="28"/>
          <w:szCs w:val="28"/>
          <w:lang w:bidi="fa-IR"/>
        </w:rPr>
        <w:fldChar w:fldCharType="end"/>
      </w:r>
    </w:p>
    <w:p w:rsidR="008E1018" w:rsidRPr="00FA601A" w:rsidRDefault="008E1018" w:rsidP="008E101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FA601A" w:rsidRDefault="00FA601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449994"/>
      <w:r>
        <w:rPr>
          <w:rFonts w:ascii="IRBadr" w:hAnsi="IRBadr" w:cs="IRBadr"/>
          <w:rtl/>
        </w:rPr>
        <w:br w:type="page"/>
      </w:r>
    </w:p>
    <w:p w:rsidR="008838C1" w:rsidRPr="00FA601A" w:rsidRDefault="00A77EEA" w:rsidP="008E1018">
      <w:pPr>
        <w:pStyle w:val="Heading1"/>
        <w:rPr>
          <w:rFonts w:ascii="IRBadr" w:hAnsi="IRBadr" w:cs="IRBadr"/>
          <w:rtl/>
        </w:rPr>
      </w:pPr>
      <w:r w:rsidRPr="00FA601A">
        <w:rPr>
          <w:rFonts w:ascii="IRBadr" w:hAnsi="IRBadr" w:cs="IRBadr"/>
          <w:rtl/>
        </w:rPr>
        <w:lastRenderedPageBreak/>
        <w:t>سب النبی (ص)</w:t>
      </w:r>
      <w:bookmarkEnd w:id="1"/>
    </w:p>
    <w:p w:rsidR="00A77EEA" w:rsidRPr="00FA601A" w:rsidRDefault="00A77EEA" w:rsidP="008E1018">
      <w:pPr>
        <w:pStyle w:val="Heading1"/>
        <w:rPr>
          <w:rFonts w:ascii="IRBadr" w:hAnsi="IRBadr" w:cs="IRBadr"/>
          <w:rtl/>
        </w:rPr>
      </w:pPr>
      <w:bookmarkStart w:id="2" w:name="_Toc427449995"/>
      <w:r w:rsidRPr="00FA601A">
        <w:rPr>
          <w:rFonts w:ascii="IRBadr" w:hAnsi="IRBadr" w:cs="IRBadr"/>
          <w:rtl/>
        </w:rPr>
        <w:t>مرور بحث گذشته</w:t>
      </w:r>
      <w:bookmarkEnd w:id="2"/>
    </w:p>
    <w:p w:rsidR="00A77EEA" w:rsidRPr="00FA601A" w:rsidRDefault="00A77EEA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یکی از اموری که در این باب باید بدان پرداخته شود،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 که آیا وجوب قتل النبی (ص) مشروط به عدم خوف یا تعرض مالی و عرضی است؟</w:t>
      </w:r>
    </w:p>
    <w:p w:rsidR="00A77EEA" w:rsidRPr="00FA601A" w:rsidRDefault="00A77EEA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مشهور یا قریب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به‌اتفاق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فقها در این زمینه قائل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به اینکه این وجوب قتل مشروط است به عدم خوف قتل یا ضرر عرضی و ناموسی نسبت به خود و دیگران.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برخی احتمال خطر نسبت به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دیگران نیز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بدان اضافه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.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 بحث‌ها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 است که در همین صور اگر اطمینان باشد،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به‌طریق‌اولی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دیگر جایز نیست.</w:t>
      </w:r>
    </w:p>
    <w:p w:rsidR="00A77EEA" w:rsidRPr="00FA601A" w:rsidRDefault="00A77EEA" w:rsidP="008E1018">
      <w:pPr>
        <w:pStyle w:val="Heading2"/>
        <w:rPr>
          <w:rFonts w:ascii="IRBadr" w:hAnsi="IRBadr" w:cs="IRBadr"/>
          <w:rtl/>
        </w:rPr>
      </w:pPr>
      <w:bookmarkStart w:id="3" w:name="_Toc427449996"/>
      <w:r w:rsidRPr="00FA601A">
        <w:rPr>
          <w:rFonts w:ascii="IRBadr" w:hAnsi="IRBadr" w:cs="IRBadr"/>
          <w:rtl/>
        </w:rPr>
        <w:t>صور مطرحه در این مقام</w:t>
      </w:r>
      <w:bookmarkEnd w:id="3"/>
    </w:p>
    <w:p w:rsidR="00A77EEA" w:rsidRPr="00FA601A" w:rsidRDefault="00876BFB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بنابراین در اینجا می‌شود گفت به یک معنا شش صورت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موجود است. جایی که قتل س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اب النبی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(ص)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برای قاتل اطمینان یا احتمال قتل 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نسبت به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خودش باشد. فرقی نمی‌کند یک عده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بی‌جهت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او را بکشند یا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به محکمه کشیده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شود و در محکمه نتواند اثبات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حق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کند و 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>طبق قوانین محکمه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کشته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شود</w:t>
      </w:r>
    </w:p>
    <w:p w:rsidR="00A77EEA" w:rsidRPr="00FA601A" w:rsidRDefault="00876BFB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صورت دوم این است که ی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>قین دارد یا احتمال می‌دهد، اگر س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اب النبی را در بیابان یا هر جای دیگری بکشد، ناموس او در معرض خطر می‌گیرد. صورت سوم این است که اطمینان یا اعتماد دارد ک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ه ضرر </w:t>
      </w:r>
      <w:r w:rsidR="00FA601A">
        <w:rPr>
          <w:rFonts w:ascii="IRBadr" w:hAnsi="IRBadr" w:cs="IRBadr"/>
          <w:sz w:val="28"/>
          <w:szCs w:val="28"/>
          <w:rtl/>
          <w:lang w:bidi="fa-IR"/>
        </w:rPr>
        <w:t>معتدبه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مالی به او متوجه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شود. اگر او را بکشد، خانه‌اش را خراب می‌کنند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اموالش را از بین می‌برند یا حساب‌های مالی دارد، حساب‌هایش را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تروریست مصادره می‌کنند. همین سه احتمال نسبت به غیر هم وجود دارد.</w:t>
      </w:r>
    </w:p>
    <w:p w:rsidR="00A77EEA" w:rsidRPr="00FA601A" w:rsidRDefault="00876BFB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احتمال چهارم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آنجایی 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می‌شود که یقین دارد یا احتمال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که دیگری کشته می‌شود.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صورت پنجم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 که نه عرض یا ناموس بلکه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حیثیت انسان مؤمن دیگری به خاطر این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از بین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می‌رود. 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صورت ششم این است که اموال </w:t>
      </w:r>
      <w:r w:rsidR="00FA601A">
        <w:rPr>
          <w:rFonts w:ascii="IRBadr" w:hAnsi="IRBadr" w:cs="IRBadr"/>
          <w:sz w:val="28"/>
          <w:szCs w:val="28"/>
          <w:rtl/>
          <w:lang w:bidi="fa-IR"/>
        </w:rPr>
        <w:t>معتدبه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 xml:space="preserve"> را از فردی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دیگر تلف می‌کنند</w:t>
      </w:r>
      <w:r w:rsidR="00A77EEA" w:rsidRPr="00FA601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E185C" w:rsidRPr="00FA601A" w:rsidRDefault="00BE185C" w:rsidP="008E1018">
      <w:pPr>
        <w:pStyle w:val="Heading2"/>
        <w:rPr>
          <w:rFonts w:ascii="IRBadr" w:hAnsi="IRBadr" w:cs="IRBadr"/>
          <w:rtl/>
        </w:rPr>
      </w:pPr>
      <w:bookmarkStart w:id="4" w:name="_Toc427449997"/>
      <w:r w:rsidRPr="00FA601A">
        <w:rPr>
          <w:rFonts w:ascii="IRBadr" w:hAnsi="IRBadr" w:cs="IRBadr"/>
          <w:rtl/>
        </w:rPr>
        <w:t>روایتی در این باب</w:t>
      </w:r>
      <w:bookmarkEnd w:id="4"/>
    </w:p>
    <w:p w:rsidR="00BE185C" w:rsidRPr="00FA601A" w:rsidRDefault="00FE3E01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مؤیدات صوری که در اینجا ترسیم شد و حد جامع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خوف بود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بدین روایات اشاره کرد.</w:t>
      </w:r>
    </w:p>
    <w:p w:rsidR="00BE185C" w:rsidRPr="00FA601A" w:rsidRDefault="00BE185C" w:rsidP="008E1018">
      <w:pPr>
        <w:pStyle w:val="Heading2"/>
        <w:rPr>
          <w:rFonts w:ascii="IRBadr" w:hAnsi="IRBadr" w:cs="IRBadr"/>
          <w:rtl/>
        </w:rPr>
      </w:pPr>
      <w:bookmarkStart w:id="5" w:name="_Toc427449998"/>
      <w:r w:rsidRPr="00FA601A">
        <w:rPr>
          <w:rFonts w:ascii="IRBadr" w:hAnsi="IRBadr" w:cs="IRBadr"/>
          <w:rtl/>
        </w:rPr>
        <w:lastRenderedPageBreak/>
        <w:t>ادله تقیه</w:t>
      </w:r>
      <w:bookmarkEnd w:id="5"/>
    </w:p>
    <w:p w:rsidR="00BE185C" w:rsidRPr="00FA601A" w:rsidRDefault="00BE185C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ادله تقیه در این زمینه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</w:p>
    <w:p w:rsidR="00715C52" w:rsidRPr="00FA601A" w:rsidRDefault="00715C52" w:rsidP="008E1018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عَنِ ابْنِ أُذَ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نَةَ عَنْ إِسْمَاعِ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الْجُعْفِ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مَعْمَرِ بْنِ 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سَامٍ وَ مُحَمَّدِ بْنِ مُسْلِمٍ وَ زُرَارَةَ قَالُوا سَمِعْنَا أَبَا جَعْفَرٍ ع 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التَّقِ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ةُ فِ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لِّ شَ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‌ءٍ 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ضْطَرُّ إِلَ</w:t>
      </w:r>
      <w:r w:rsidR="0057547F"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FA601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ابْنُ آدَمَ فَقَدْ أَحَلَّهُ اللَّهُ لَهُ.»</w:t>
      </w:r>
      <w:r w:rsidRPr="00FA601A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BE185C" w:rsidRPr="00FA601A" w:rsidRDefault="00876BFB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چنین تعبیر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در روایت تقیه 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>وجود دارد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که هر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جا که اجرای حکمی موجب ضرری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به شخص می‌شو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>د، او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می‌توا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ند به خاطر تقیه این حکم را ترک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کند که قدر متیقن این‌ها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همان‌جایی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 که قتل نفس است.</w:t>
      </w:r>
    </w:p>
    <w:p w:rsidR="00BE185C" w:rsidRPr="00FA601A" w:rsidRDefault="00BE185C" w:rsidP="008E1018">
      <w:pPr>
        <w:pStyle w:val="Heading2"/>
        <w:rPr>
          <w:rFonts w:ascii="IRBadr" w:hAnsi="IRBadr" w:cs="IRBadr"/>
          <w:rtl/>
        </w:rPr>
      </w:pPr>
      <w:bookmarkStart w:id="6" w:name="_Toc427449999"/>
      <w:r w:rsidRPr="00FA601A">
        <w:rPr>
          <w:rFonts w:ascii="IRBadr" w:hAnsi="IRBadr" w:cs="IRBadr"/>
          <w:rtl/>
        </w:rPr>
        <w:t>ادله نفی ضرر</w:t>
      </w:r>
      <w:bookmarkEnd w:id="6"/>
    </w:p>
    <w:p w:rsidR="00BE185C" w:rsidRPr="00FA601A" w:rsidRDefault="00FE3E01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که در اینجا صادق است،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5C52" w:rsidRPr="00FA601A">
        <w:rPr>
          <w:rFonts w:ascii="IRBadr" w:hAnsi="IRBadr" w:cs="IRBadr"/>
          <w:sz w:val="28"/>
          <w:szCs w:val="28"/>
          <w:rtl/>
          <w:lang w:bidi="fa-IR"/>
        </w:rPr>
        <w:t>نفی ضرر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بوده که این حکم موجب ضرری به افراد باشد که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مهم‌ترین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بعد از ابعاد ضرر در اینجا قتل نفس است. از جهتی </w:t>
      </w:r>
      <w:r w:rsidR="00FA601A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>دله وجوب حفظ نفس نیز در اینجا صادق است.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توجه داشت که معنای عرض نیز وسیع است و اعم از آبروی خود شخص یا ناموس اوست.</w:t>
      </w:r>
    </w:p>
    <w:p w:rsidR="00BE185C" w:rsidRPr="00FA601A" w:rsidRDefault="00BE185C" w:rsidP="008E1018">
      <w:pPr>
        <w:pStyle w:val="Heading2"/>
        <w:rPr>
          <w:rFonts w:ascii="IRBadr" w:hAnsi="IRBadr" w:cs="IRBadr"/>
          <w:rtl/>
        </w:rPr>
      </w:pPr>
      <w:bookmarkStart w:id="7" w:name="_Toc427450000"/>
      <w:r w:rsidRPr="00FA601A">
        <w:rPr>
          <w:rFonts w:ascii="IRBadr" w:hAnsi="IRBadr" w:cs="IRBadr"/>
          <w:rtl/>
        </w:rPr>
        <w:t>دلیل نفی حرج</w:t>
      </w:r>
      <w:bookmarkEnd w:id="7"/>
    </w:p>
    <w:p w:rsidR="00BE185C" w:rsidRPr="00FA601A" w:rsidRDefault="00876BFB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دلیل دومی که می‌شود آورد، این است که در بعضی موارد ممکن است علاوه بر ضرر حرج باشد، یا اگر ضرر نیست حرج باشد. بین ضرر و حرج عموم خصوص من وجه است. گاهی اجتماع دارند، گاهی از هم جدا می‌شوند. بنابراین در بعضی موارد هم موجب حرج می‌شود و</w:t>
      </w:r>
      <w:r w:rsidR="00BE185C" w:rsidRPr="00FA601A">
        <w:rPr>
          <w:rFonts w:ascii="IRBadr" w:hAnsi="IRBadr" w:cs="IRBadr"/>
          <w:sz w:val="28"/>
          <w:szCs w:val="28"/>
          <w:rtl/>
          <w:lang w:bidi="fa-IR"/>
        </w:rPr>
        <w:t xml:space="preserve"> حکم از فرد سلب خواهد شد. در قبال دلیل تقیه نیز لازم است به این امر توجه شود که تقیه تنها</w:t>
      </w:r>
      <w:r w:rsidR="00314186" w:rsidRPr="00FA601A">
        <w:rPr>
          <w:rFonts w:ascii="IRBadr" w:hAnsi="IRBadr" w:cs="IRBadr"/>
          <w:sz w:val="28"/>
          <w:szCs w:val="28"/>
          <w:rtl/>
          <w:lang w:bidi="fa-IR"/>
        </w:rPr>
        <w:t xml:space="preserve"> در قضیه اهل سنت منحصر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314186" w:rsidRPr="00FA601A">
        <w:rPr>
          <w:rFonts w:ascii="IRBadr" w:hAnsi="IRBadr" w:cs="IRBadr"/>
          <w:sz w:val="28"/>
          <w:szCs w:val="28"/>
          <w:rtl/>
          <w:lang w:bidi="fa-IR"/>
        </w:rPr>
        <w:t xml:space="preserve"> و در قبال کفار و موارد دیگر نیز مصداق پیدا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314186" w:rsidRPr="00FA601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E185C" w:rsidRPr="00FA601A" w:rsidRDefault="00314186" w:rsidP="008E1018">
      <w:pPr>
        <w:pStyle w:val="Heading3"/>
        <w:rPr>
          <w:rFonts w:ascii="IRBadr" w:hAnsi="IRBadr" w:cs="IRBadr"/>
          <w:rtl/>
        </w:rPr>
      </w:pPr>
      <w:bookmarkStart w:id="8" w:name="_Toc427450001"/>
      <w:r w:rsidRPr="00FA601A">
        <w:rPr>
          <w:rFonts w:ascii="IRBadr" w:hAnsi="IRBadr" w:cs="IRBadr"/>
          <w:rtl/>
        </w:rPr>
        <w:t>اقتضای قواعد</w:t>
      </w:r>
      <w:bookmarkEnd w:id="8"/>
    </w:p>
    <w:p w:rsidR="00314186" w:rsidRPr="00FA601A" w:rsidRDefault="00314186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این سؤال باید در اینجا مطرح شود که؛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ادله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در این باب وجود نداشت و ما بودیم و قواعد،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 صورت حکم چگونه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314186" w:rsidRPr="00FA601A" w:rsidRDefault="00314186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قبل از آن باید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به‌حکم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تزاحم در این باب پرداخت،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شریعت موارد متعددی از تزاحم وجود دارد،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اینجا نیز تزاحم برقرار است چراکه حکم در اینجا </w:t>
      </w:r>
      <w:r w:rsidR="00FA601A">
        <w:rPr>
          <w:rFonts w:ascii="IRBadr" w:hAnsi="IRBadr" w:cs="IRBadr"/>
          <w:sz w:val="28"/>
          <w:szCs w:val="28"/>
          <w:rtl/>
          <w:lang w:bidi="fa-IR"/>
        </w:rPr>
        <w:t>دایر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 میان تلف شدن مال یا عرض و...در قبال فرد و اینکه ساب النبی کشته شود. در موارد تعارض حکم تساقط است اما در باب تزاحم حکم اهم و مهم خواهد بود.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از ادله خوف، در اینجا تزاحم بین موارد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شکل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14186" w:rsidRPr="00FA601A" w:rsidRDefault="00314186" w:rsidP="008E1018">
      <w:pPr>
        <w:pStyle w:val="Heading3"/>
        <w:rPr>
          <w:rFonts w:ascii="IRBadr" w:hAnsi="IRBadr" w:cs="IRBadr"/>
          <w:rtl/>
        </w:rPr>
      </w:pPr>
      <w:bookmarkStart w:id="9" w:name="_Toc427450002"/>
      <w:r w:rsidRPr="00FA601A">
        <w:rPr>
          <w:rFonts w:ascii="IRBadr" w:hAnsi="IRBadr" w:cs="IRBadr"/>
          <w:rtl/>
        </w:rPr>
        <w:t>اتخاذ مبنا</w:t>
      </w:r>
      <w:bookmarkEnd w:id="9"/>
    </w:p>
    <w:p w:rsidR="00314186" w:rsidRPr="00FA601A" w:rsidRDefault="00314186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اینجا تقریباً اتفاق بر این است و عقل و ارتکاز این را می‌رساند که حفظ نفس یک انسان مؤمن مقدم است بر آن انسان که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س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>ب النبی می‌کند.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کلیت این دلیل در مواردی قابل مناقشه است،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در موارد متعددی صادق است. 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بنابراین این دلیل </w:t>
      </w:r>
      <w:r w:rsidR="00FA601A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درست است. یعنی مواردی است که حفظ نفس ی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ا عرض یا مال اهم است از قتل آن ساب نبی، اما همیشه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D6479F" w:rsidRPr="00FA601A" w:rsidRDefault="00D6479F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حداقل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 که در صورت دوم و سوم می‌شود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گفت 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>که آن اهم است، یعنی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باید ساب النبی کشته 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شود، به خاطر لطمه شدیدی که به حیثیت و هویت اسلامی مردم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6479F" w:rsidRPr="00FA601A" w:rsidRDefault="00D6479F" w:rsidP="008E1018">
      <w:pPr>
        <w:pStyle w:val="Heading4"/>
        <w:ind w:firstLine="0"/>
        <w:rPr>
          <w:rFonts w:ascii="IRBadr" w:hAnsi="IRBadr" w:cs="IRBadr"/>
          <w:rtl/>
        </w:rPr>
      </w:pPr>
      <w:bookmarkStart w:id="10" w:name="_Toc427450003"/>
      <w:r w:rsidRPr="00FA601A">
        <w:rPr>
          <w:rFonts w:ascii="IRBadr" w:hAnsi="IRBadr" w:cs="IRBadr"/>
          <w:rtl/>
        </w:rPr>
        <w:t>عناوین ثانوی</w:t>
      </w:r>
      <w:bookmarkEnd w:id="10"/>
    </w:p>
    <w:p w:rsidR="00D6479F" w:rsidRPr="00FA601A" w:rsidRDefault="00D6479F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در باب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عناوین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ثانوی نیز در این باب باید دقت لازم به عمل آید،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متناسب با تغییر احوال،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ازمنه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و امکنه ممکن است حکم در اینجا متفاوت شود.</w:t>
      </w:r>
    </w:p>
    <w:p w:rsidR="00D6479F" w:rsidRPr="00FA601A" w:rsidRDefault="00FE3E01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اهم و مهم را </w:t>
      </w:r>
      <w:r w:rsidR="00FA601A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قبول داریم، اما اینکه بالجمله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اهم و مهم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 صادق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باشد، این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 ادعا را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نمی‌شود قبول کرد.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 پس در حقیقت در خیلی از موارد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 که حفظ نفس یا عرض یا مال او نسبت به آن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 فرد ساب</w:t>
      </w:r>
      <w:r w:rsidR="00876BFB" w:rsidRPr="00FA601A">
        <w:rPr>
          <w:rFonts w:ascii="IRBadr" w:hAnsi="IRBadr" w:cs="IRBadr"/>
          <w:sz w:val="28"/>
          <w:szCs w:val="28"/>
          <w:rtl/>
          <w:lang w:bidi="fa-IR"/>
        </w:rPr>
        <w:t xml:space="preserve"> اهم است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>.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 اشکال اولی که در اینجاست راجع به اطلاق این حکم بود که تشریح شد.</w:t>
      </w:r>
    </w:p>
    <w:p w:rsidR="00D6479F" w:rsidRPr="00FA601A" w:rsidRDefault="00D6479F" w:rsidP="008E1018">
      <w:pPr>
        <w:pStyle w:val="Heading4"/>
        <w:ind w:firstLine="0"/>
        <w:rPr>
          <w:rFonts w:ascii="IRBadr" w:hAnsi="IRBadr" w:cs="IRBadr"/>
          <w:rtl/>
        </w:rPr>
      </w:pPr>
      <w:bookmarkStart w:id="11" w:name="_Toc427450004"/>
      <w:r w:rsidRPr="00FA601A">
        <w:rPr>
          <w:rFonts w:ascii="IRBadr" w:hAnsi="IRBadr" w:cs="IRBadr"/>
          <w:rtl/>
        </w:rPr>
        <w:t>فرض احتمال در این باب</w:t>
      </w:r>
      <w:bookmarkEnd w:id="11"/>
    </w:p>
    <w:p w:rsidR="00D6479F" w:rsidRPr="00FA601A" w:rsidRDefault="00876BFB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>اشکال دومی که به این بحث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متوجه 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می‌شود، 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این است که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اینجا دو حالت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دارد. گاهی اطمینان دارد به اینکه کشته می‌شود یا عرضش یا مالش می‌رود 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>و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گاهی احتمال می‌دهد. این 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>گیرد که آنجایی که اطمینان دارد، ط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بعاً از باب تزاحم می‌شود. حفظ نفس و عرض و مال نسبت به اینکه او کشته نشود، </w:t>
      </w:r>
      <w:r w:rsidR="00D6479F" w:rsidRPr="00FA601A">
        <w:rPr>
          <w:rFonts w:ascii="IRBadr" w:hAnsi="IRBadr" w:cs="IRBadr"/>
          <w:sz w:val="28"/>
          <w:szCs w:val="28"/>
          <w:rtl/>
          <w:lang w:bidi="fa-IR"/>
        </w:rPr>
        <w:t>اهم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است. اما اگر احتمال بدهد که عرضش را می‌برند یا مالش را می‌برند،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بازهم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 مقدم بر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آن‌طرف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1547F" w:rsidRPr="00FA601A" w:rsidRDefault="00E1547F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البته این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است که آیا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درزمینه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وجود احتمال در تزاحم باز اهم همان بود که اکنون بیان شد یا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تغییر پیدا کند؟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FE3E01" w:rsidRPr="00FA601A">
        <w:rPr>
          <w:rFonts w:ascii="IRBadr" w:hAnsi="IRBadr" w:cs="IRBadr"/>
          <w:sz w:val="28"/>
          <w:szCs w:val="28"/>
          <w:rtl/>
          <w:lang w:bidi="fa-IR"/>
        </w:rPr>
        <w:t>نجات‌غریق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اگر احتمال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او را نجات دهد ولی دست او شکسته 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>،</w:t>
      </w:r>
      <w:r w:rsidR="0057547F" w:rsidRPr="00FA601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A601A">
        <w:rPr>
          <w:rFonts w:ascii="IRBadr" w:hAnsi="IRBadr" w:cs="IRBadr"/>
          <w:sz w:val="28"/>
          <w:szCs w:val="28"/>
          <w:rtl/>
          <w:lang w:bidi="fa-IR"/>
        </w:rPr>
        <w:t xml:space="preserve"> اینجا نجات او اهم نخواهد بود.</w:t>
      </w:r>
    </w:p>
    <w:p w:rsidR="00E1547F" w:rsidRPr="00FA601A" w:rsidRDefault="00E1547F" w:rsidP="008E10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FA601A" w:rsidRDefault="00152670" w:rsidP="008E1018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FA601A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89" w:rsidRDefault="00323B89" w:rsidP="000D5800">
      <w:pPr>
        <w:spacing w:after="0" w:line="240" w:lineRule="auto"/>
      </w:pPr>
      <w:r>
        <w:separator/>
      </w:r>
    </w:p>
  </w:endnote>
  <w:endnote w:type="continuationSeparator" w:id="0">
    <w:p w:rsidR="00323B89" w:rsidRDefault="00323B8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7F" w:rsidRDefault="00575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48257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018" w:rsidRDefault="008E1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01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57547F" w:rsidRDefault="00575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7F" w:rsidRDefault="00575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89" w:rsidRDefault="00323B89" w:rsidP="008E1018">
      <w:pPr>
        <w:bidi/>
        <w:spacing w:after="0" w:line="240" w:lineRule="auto"/>
      </w:pPr>
      <w:r>
        <w:separator/>
      </w:r>
    </w:p>
  </w:footnote>
  <w:footnote w:type="continuationSeparator" w:id="0">
    <w:p w:rsidR="00323B89" w:rsidRDefault="00323B89" w:rsidP="000D5800">
      <w:pPr>
        <w:spacing w:after="0" w:line="240" w:lineRule="auto"/>
      </w:pPr>
      <w:r>
        <w:continuationSeparator/>
      </w:r>
    </w:p>
  </w:footnote>
  <w:footnote w:id="1">
    <w:p w:rsidR="00715C52" w:rsidRDefault="00715C5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15C52">
        <w:rPr>
          <w:rFonts w:ascii="Noor_Titr" w:hAnsi="Noor_Titr" w:cs="B Badr" w:hint="cs"/>
          <w:color w:val="000000" w:themeColor="text1"/>
          <w:rtl/>
        </w:rPr>
        <w:t>ال</w:t>
      </w:r>
      <w:r w:rsidR="0057547F">
        <w:rPr>
          <w:rFonts w:ascii="Noor_Titr" w:hAnsi="Noor_Titr" w:cs="B Badr" w:hint="cs"/>
          <w:color w:val="000000" w:themeColor="text1"/>
          <w:rtl/>
        </w:rPr>
        <w:t>ک</w:t>
      </w:r>
      <w:r w:rsidRPr="00715C52">
        <w:rPr>
          <w:rFonts w:ascii="Noor_Titr" w:hAnsi="Noor_Titr" w:cs="B Badr" w:hint="cs"/>
          <w:color w:val="000000" w:themeColor="text1"/>
          <w:rtl/>
        </w:rPr>
        <w:t>اف</w:t>
      </w:r>
      <w:r w:rsidR="0057547F">
        <w:rPr>
          <w:rFonts w:ascii="Noor_Titr" w:hAnsi="Noor_Titr" w:cs="B Badr" w:hint="cs"/>
          <w:color w:val="000000" w:themeColor="text1"/>
          <w:rtl/>
        </w:rPr>
        <w:t>ی</w:t>
      </w:r>
      <w:r w:rsidRPr="00715C52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57547F">
        <w:rPr>
          <w:rFonts w:ascii="Noor_Titr" w:hAnsi="Noor_Titr" w:cs="B Badr" w:hint="cs"/>
          <w:color w:val="000000" w:themeColor="text1"/>
          <w:rtl/>
        </w:rPr>
        <w:t>ی</w:t>
      </w:r>
      <w:r w:rsidRPr="00715C52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57547F">
        <w:rPr>
          <w:rFonts w:ascii="Noor_Titr" w:hAnsi="Noor_Titr" w:cs="B Badr"/>
          <w:color w:val="000000" w:themeColor="text1"/>
          <w:rtl/>
        </w:rPr>
        <w:t>ج 2</w:t>
      </w:r>
      <w:r w:rsidRPr="00715C52">
        <w:rPr>
          <w:rFonts w:ascii="Noor_Titr" w:hAnsi="Noor_Titr" w:cs="B Badr" w:hint="cs"/>
          <w:color w:val="000000" w:themeColor="text1"/>
          <w:rtl/>
        </w:rPr>
        <w:t>، ص: 220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7F" w:rsidRDefault="00575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76BFB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1B6449" wp14:editId="31E307B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69DF5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6DAC6826" wp14:editId="0A24642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57547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76BFB">
      <w:rPr>
        <w:rFonts w:ascii="IranNastaliq" w:hAnsi="IranNastaliq" w:cs="IranNastaliq" w:hint="cs"/>
        <w:sz w:val="40"/>
        <w:szCs w:val="40"/>
        <w:rtl/>
      </w:rPr>
      <w:t>816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7F" w:rsidRDefault="00575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B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4186"/>
    <w:rsid w:val="00323B8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2B31"/>
    <w:rsid w:val="004651D2"/>
    <w:rsid w:val="00465D26"/>
    <w:rsid w:val="004679F8"/>
    <w:rsid w:val="004B337F"/>
    <w:rsid w:val="004F3596"/>
    <w:rsid w:val="00572E2D"/>
    <w:rsid w:val="0057547F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13E22"/>
    <w:rsid w:val="00715C52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6BFB"/>
    <w:rsid w:val="00883733"/>
    <w:rsid w:val="008838C1"/>
    <w:rsid w:val="008965D2"/>
    <w:rsid w:val="008A236D"/>
    <w:rsid w:val="008B565A"/>
    <w:rsid w:val="008C3414"/>
    <w:rsid w:val="008D36D5"/>
    <w:rsid w:val="008E1018"/>
    <w:rsid w:val="008E3903"/>
    <w:rsid w:val="008F63E3"/>
    <w:rsid w:val="00913C3B"/>
    <w:rsid w:val="00915509"/>
    <w:rsid w:val="00927388"/>
    <w:rsid w:val="009274FE"/>
    <w:rsid w:val="009401AC"/>
    <w:rsid w:val="009613AC"/>
    <w:rsid w:val="009741C2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77EEA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B15"/>
    <w:rsid w:val="00BB5F7E"/>
    <w:rsid w:val="00BC26F6"/>
    <w:rsid w:val="00BC4833"/>
    <w:rsid w:val="00BD3122"/>
    <w:rsid w:val="00BD40DA"/>
    <w:rsid w:val="00BE185C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1B56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479F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547F"/>
    <w:rsid w:val="00E3381D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601A"/>
    <w:rsid w:val="00FC0862"/>
    <w:rsid w:val="00FC70FB"/>
    <w:rsid w:val="00FD143D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76B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15C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76B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15C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2446-697E-4EFD-9B13-A9D90E17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313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12</cp:revision>
  <dcterms:created xsi:type="dcterms:W3CDTF">2014-12-22T04:04:00Z</dcterms:created>
  <dcterms:modified xsi:type="dcterms:W3CDTF">2015-07-27T21:36:00Z</dcterms:modified>
</cp:coreProperties>
</file>