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56" w:rsidRPr="00994617" w:rsidRDefault="000967A0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994617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5744E8" w:rsidRPr="00994617" w:rsidRDefault="005744E8" w:rsidP="005744E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5744E8" w:rsidRPr="00994617" w:rsidRDefault="005744E8" w:rsidP="005744E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994617">
        <w:rPr>
          <w:rFonts w:ascii="IRBadr" w:hAnsi="IRBadr" w:cs="IRBadr"/>
          <w:sz w:val="28"/>
          <w:rtl/>
        </w:rPr>
        <w:fldChar w:fldCharType="begin"/>
      </w:r>
      <w:r w:rsidRPr="00994617">
        <w:rPr>
          <w:rFonts w:ascii="IRBadr" w:hAnsi="IRBadr" w:cs="IRBadr"/>
          <w:sz w:val="28"/>
          <w:rtl/>
        </w:rPr>
        <w:instrText xml:space="preserve"> </w:instrText>
      </w:r>
      <w:r w:rsidRPr="00994617">
        <w:rPr>
          <w:rFonts w:ascii="IRBadr" w:hAnsi="IRBadr" w:cs="IRBadr"/>
          <w:sz w:val="28"/>
        </w:rPr>
        <w:instrText>TOC</w:instrText>
      </w:r>
      <w:r w:rsidRPr="00994617">
        <w:rPr>
          <w:rFonts w:ascii="IRBadr" w:hAnsi="IRBadr" w:cs="IRBadr"/>
          <w:sz w:val="28"/>
          <w:rtl/>
        </w:rPr>
        <w:instrText xml:space="preserve"> \</w:instrText>
      </w:r>
      <w:r w:rsidRPr="00994617">
        <w:rPr>
          <w:rFonts w:ascii="IRBadr" w:hAnsi="IRBadr" w:cs="IRBadr"/>
          <w:sz w:val="28"/>
        </w:rPr>
        <w:instrText>o "</w:instrText>
      </w:r>
      <w:r w:rsidRPr="00994617">
        <w:rPr>
          <w:rFonts w:ascii="IRBadr" w:hAnsi="IRBadr" w:cs="IRBadr"/>
          <w:sz w:val="28"/>
          <w:rtl/>
        </w:rPr>
        <w:instrText>1-4</w:instrText>
      </w:r>
      <w:r w:rsidRPr="00994617">
        <w:rPr>
          <w:rFonts w:ascii="IRBadr" w:hAnsi="IRBadr" w:cs="IRBadr"/>
          <w:sz w:val="28"/>
        </w:rPr>
        <w:instrText>" \h \z \u</w:instrText>
      </w:r>
      <w:r w:rsidRPr="00994617">
        <w:rPr>
          <w:rFonts w:ascii="IRBadr" w:hAnsi="IRBadr" w:cs="IRBadr"/>
          <w:sz w:val="28"/>
          <w:rtl/>
        </w:rPr>
        <w:instrText xml:space="preserve"> </w:instrText>
      </w:r>
      <w:r w:rsidRPr="00994617">
        <w:rPr>
          <w:rFonts w:ascii="IRBadr" w:hAnsi="IRBadr" w:cs="IRBadr"/>
          <w:sz w:val="28"/>
          <w:rtl/>
        </w:rPr>
        <w:fldChar w:fldCharType="separate"/>
      </w:r>
      <w:hyperlink w:anchor="_Toc426570969" w:history="1">
        <w:r w:rsidRPr="00994617">
          <w:rPr>
            <w:rStyle w:val="Hyperlink"/>
            <w:rFonts w:ascii="IRBadr" w:hAnsi="IRBadr" w:cs="IRBadr"/>
            <w:noProof/>
            <w:rtl/>
          </w:rPr>
          <w:t>سب النبی (ص)</w:t>
        </w:r>
        <w:r w:rsidRPr="00994617">
          <w:rPr>
            <w:rFonts w:ascii="IRBadr" w:hAnsi="IRBadr" w:cs="IRBadr"/>
            <w:noProof/>
            <w:webHidden/>
          </w:rPr>
          <w:tab/>
        </w:r>
        <w:r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994617">
          <w:rPr>
            <w:rFonts w:ascii="IRBadr" w:hAnsi="IRBadr" w:cs="IRBadr"/>
            <w:noProof/>
            <w:webHidden/>
          </w:rPr>
          <w:instrText xml:space="preserve"> PAGEREF _Toc426570969 \h </w:instrText>
        </w:r>
        <w:r w:rsidRPr="00994617">
          <w:rPr>
            <w:rStyle w:val="Hyperlink"/>
            <w:rFonts w:ascii="IRBadr" w:hAnsi="IRBadr" w:cs="IRBadr"/>
            <w:noProof/>
            <w:rtl/>
          </w:rPr>
        </w:r>
        <w:r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994617">
          <w:rPr>
            <w:rFonts w:ascii="IRBadr" w:hAnsi="IRBadr" w:cs="IRBadr"/>
            <w:noProof/>
            <w:webHidden/>
          </w:rPr>
          <w:t>1</w:t>
        </w:r>
        <w:r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70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مرور بحث پیشین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_Toc426570970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1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71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اقتضای تزاحم در این باب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_Toc426570971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2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72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ابزار تشخیص در تزاحم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_Toc426570972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3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570973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جمع‌بندی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_Toc426570973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3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570974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صورت هفتم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_Toc426570974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3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570975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اقسام خوف قتل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_Toc426570975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4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570976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استثناءیت اجرای حکم توسط حاکم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_Toc426570976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4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570977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سب امام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_Toc426570977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5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570978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 xml:space="preserve">مستندات این </w:t>
        </w:r>
        <w:r w:rsidR="00994617">
          <w:rPr>
            <w:rStyle w:val="Hyperlink"/>
            <w:rFonts w:ascii="IRBadr" w:hAnsi="IRBadr" w:cs="IRBadr"/>
            <w:noProof/>
            <w:rtl/>
          </w:rPr>
          <w:t>مسئله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_Toc426570978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5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570979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روایت اول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_Toc426570979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5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A63244" w:rsidP="005744E8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570980" w:history="1">
        <w:r w:rsidR="005744E8" w:rsidRPr="00994617">
          <w:rPr>
            <w:rStyle w:val="Hyperlink"/>
            <w:rFonts w:ascii="IRBadr" w:hAnsi="IRBadr" w:cs="IRBadr"/>
            <w:noProof/>
            <w:rtl/>
          </w:rPr>
          <w:t>روایت دوم</w:t>
        </w:r>
        <w:r w:rsidR="005744E8" w:rsidRPr="00994617">
          <w:rPr>
            <w:rFonts w:ascii="IRBadr" w:hAnsi="IRBadr" w:cs="IRBadr"/>
            <w:noProof/>
            <w:webHidden/>
          </w:rPr>
          <w:tab/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744E8" w:rsidRPr="00994617">
          <w:rPr>
            <w:rFonts w:ascii="IRBadr" w:hAnsi="IRBadr" w:cs="IRBadr"/>
            <w:noProof/>
            <w:webHidden/>
          </w:rPr>
          <w:instrText xml:space="preserve"> PAGEREF _Toc426570980 \h </w:instrText>
        </w:r>
        <w:r w:rsidR="005744E8" w:rsidRPr="00994617">
          <w:rPr>
            <w:rStyle w:val="Hyperlink"/>
            <w:rFonts w:ascii="IRBadr" w:hAnsi="IRBadr" w:cs="IRBadr"/>
            <w:noProof/>
            <w:rtl/>
          </w:rPr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744E8" w:rsidRPr="00994617">
          <w:rPr>
            <w:rFonts w:ascii="IRBadr" w:hAnsi="IRBadr" w:cs="IRBadr"/>
            <w:noProof/>
            <w:webHidden/>
          </w:rPr>
          <w:t>5</w:t>
        </w:r>
        <w:r w:rsidR="005744E8" w:rsidRPr="0099461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744E8" w:rsidRPr="00994617" w:rsidRDefault="005744E8" w:rsidP="005744E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94617" w:rsidRDefault="00994617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570969"/>
      <w:r>
        <w:rPr>
          <w:rFonts w:ascii="IRBadr" w:hAnsi="IRBadr" w:cs="IRBadr"/>
          <w:rtl/>
        </w:rPr>
        <w:br w:type="page"/>
      </w:r>
    </w:p>
    <w:p w:rsidR="008E6930" w:rsidRPr="00994617" w:rsidRDefault="008E6930" w:rsidP="000967A0">
      <w:pPr>
        <w:pStyle w:val="Heading1"/>
        <w:rPr>
          <w:rFonts w:ascii="IRBadr" w:hAnsi="IRBadr" w:cs="IRBadr"/>
          <w:rtl/>
        </w:rPr>
      </w:pPr>
      <w:r w:rsidRPr="00994617">
        <w:rPr>
          <w:rFonts w:ascii="IRBadr" w:hAnsi="IRBadr" w:cs="IRBadr"/>
          <w:rtl/>
        </w:rPr>
        <w:lastRenderedPageBreak/>
        <w:t>سب النبی (ص)</w:t>
      </w:r>
      <w:bookmarkEnd w:id="1"/>
    </w:p>
    <w:p w:rsidR="008E6930" w:rsidRPr="00994617" w:rsidRDefault="008E6930" w:rsidP="000967A0">
      <w:pPr>
        <w:pStyle w:val="Heading1"/>
        <w:rPr>
          <w:rFonts w:ascii="IRBadr" w:hAnsi="IRBadr" w:cs="IRBadr"/>
          <w:rtl/>
        </w:rPr>
      </w:pPr>
      <w:bookmarkStart w:id="2" w:name="_Toc426570970"/>
      <w:r w:rsidRPr="00994617">
        <w:rPr>
          <w:rFonts w:ascii="IRBadr" w:hAnsi="IRBadr" w:cs="IRBadr"/>
          <w:rtl/>
        </w:rPr>
        <w:t>مرور بحث پیشین</w:t>
      </w:r>
      <w:bookmarkEnd w:id="2"/>
    </w:p>
    <w:p w:rsidR="008E6930" w:rsidRPr="00994617" w:rsidRDefault="00FB1FDF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در بحث ساب النبی فروعاتی مطرح شد که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وجوب یا جواز آن بود.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موارد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شش‌گانه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خوف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قرار گرفت،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ادله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چهارگانه عمومی که در این راستا صادق بود،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بیان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گردید و فروعی نیز در ذیل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مطرح شد.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شد در مواردی که ضرر و خوف متوجه دیگری باشد،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قاعده نفی ضرر و نفی حرج صادق نخواهد بود و باید از قواعد دیگر استفاده نمود.</w:t>
      </w:r>
    </w:p>
    <w:p w:rsidR="00425C3E" w:rsidRPr="00994617" w:rsidRDefault="00FB1FDF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بیان شد که اضرار به غیر حرام است و امهال حکم الهی مبنی بر قتل ساب الرسول نیز حرمت پیدا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در اینجا میان دو حرمت تعارض شکل گرفت،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تزاحم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بین دو تکلیف بود</w:t>
      </w:r>
      <w:r w:rsidR="00425C3E" w:rsidRPr="00994617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این دو متزاحم است. پس لا ضرر اینجا </w:t>
      </w:r>
      <w:r w:rsidR="00425C3E" w:rsidRPr="00994617">
        <w:rPr>
          <w:rFonts w:ascii="IRBadr" w:hAnsi="IRBadr" w:cs="IRBadr"/>
          <w:sz w:val="28"/>
          <w:szCs w:val="28"/>
          <w:rtl/>
          <w:lang w:bidi="fa-IR"/>
        </w:rPr>
        <w:t>و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لا حرج </w:t>
      </w:r>
      <w:r w:rsidR="00425C3E" w:rsidRPr="00994617">
        <w:rPr>
          <w:rFonts w:ascii="IRBadr" w:hAnsi="IRBadr" w:cs="IRBadr"/>
          <w:sz w:val="28"/>
          <w:szCs w:val="28"/>
          <w:rtl/>
          <w:lang w:bidi="fa-IR"/>
        </w:rPr>
        <w:t>در اینجا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نیست. ولی اقدامی که موجب ایذاء یا اضرار به غیر باشد، حرام است.</w:t>
      </w:r>
    </w:p>
    <w:p w:rsidR="00773E15" w:rsidRPr="00994617" w:rsidRDefault="00773E15" w:rsidP="000967A0">
      <w:pPr>
        <w:pStyle w:val="Heading2"/>
        <w:rPr>
          <w:rFonts w:ascii="IRBadr" w:hAnsi="IRBadr" w:cs="IRBadr"/>
          <w:rtl/>
        </w:rPr>
      </w:pPr>
      <w:bookmarkStart w:id="3" w:name="_Toc426570971"/>
      <w:r w:rsidRPr="00994617">
        <w:rPr>
          <w:rFonts w:ascii="IRBadr" w:hAnsi="IRBadr" w:cs="IRBadr"/>
          <w:rtl/>
        </w:rPr>
        <w:t>اقتضای تزاحم در این باب</w:t>
      </w:r>
      <w:bookmarkEnd w:id="3"/>
    </w:p>
    <w:p w:rsidR="00425C3E" w:rsidRPr="00994617" w:rsidRDefault="00BE2856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قواعد تزاحم این بود که اگر متزاحمین متساویین </w:t>
      </w:r>
      <w:r w:rsidR="00425C3E" w:rsidRPr="00994617">
        <w:rPr>
          <w:rFonts w:ascii="IRBadr" w:hAnsi="IRBadr" w:cs="IRBadr"/>
          <w:sz w:val="28"/>
          <w:szCs w:val="28"/>
          <w:rtl/>
          <w:lang w:bidi="fa-IR"/>
        </w:rPr>
        <w:t>هستند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تخییر</w:t>
      </w:r>
      <w:r w:rsidR="00425C3E" w:rsidRPr="00994617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، اگر متزاحمین متساویین نیستند، بلکه </w:t>
      </w:r>
      <w:r w:rsidR="00425C3E" w:rsidRPr="00994617">
        <w:rPr>
          <w:rFonts w:ascii="IRBadr" w:hAnsi="IRBadr" w:cs="IRBadr"/>
          <w:sz w:val="28"/>
          <w:szCs w:val="28"/>
          <w:rtl/>
          <w:lang w:bidi="fa-IR"/>
        </w:rPr>
        <w:t xml:space="preserve">به نحو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اهم و مهم </w:t>
      </w:r>
      <w:r w:rsidR="00425C3E" w:rsidRPr="00994617">
        <w:rPr>
          <w:rFonts w:ascii="IRBadr" w:hAnsi="IRBadr" w:cs="IRBadr"/>
          <w:sz w:val="28"/>
          <w:szCs w:val="28"/>
          <w:rtl/>
          <w:lang w:bidi="fa-IR"/>
        </w:rPr>
        <w:t>است،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="00425C3E" w:rsidRPr="00994617">
        <w:rPr>
          <w:rFonts w:ascii="IRBadr" w:hAnsi="IRBadr" w:cs="IRBadr"/>
          <w:sz w:val="28"/>
          <w:szCs w:val="28"/>
          <w:rtl/>
          <w:lang w:bidi="fa-IR"/>
        </w:rPr>
        <w:t xml:space="preserve"> ترجیح اهم بر مهم است.</w:t>
      </w:r>
    </w:p>
    <w:p w:rsidR="00773E15" w:rsidRPr="00994617" w:rsidRDefault="00425C3E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>مسلماً در مواردی که قتل ساب موجب قتل شیعیان شود،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اهم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حفظ جان شیعه است چراکه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امام می‌فرماید که هزار نفر آن‌ها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،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به‌اندازه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یک نفر شما ارزش ندارد. این همان ارزش معنوی و کلمات ایمانی اشخاص مؤمن است. بنابراین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اقدام به آن منجر به قتل دیگری باشد، مسلم آن اهم است و م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انع می‌شود از اینکه حد را اجرا 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>کند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.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73E15" w:rsidRPr="00994617">
        <w:rPr>
          <w:rFonts w:ascii="IRBadr" w:hAnsi="IRBadr" w:cs="IRBadr"/>
          <w:sz w:val="28"/>
          <w:szCs w:val="28"/>
          <w:rtl/>
          <w:lang w:bidi="fa-IR"/>
        </w:rPr>
        <w:t xml:space="preserve">ما در عرض بعید نیست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773E15" w:rsidRPr="00994617">
        <w:rPr>
          <w:rFonts w:ascii="IRBadr" w:hAnsi="IRBadr" w:cs="IRBadr"/>
          <w:sz w:val="28"/>
          <w:szCs w:val="28"/>
          <w:rtl/>
          <w:lang w:bidi="fa-IR"/>
        </w:rPr>
        <w:t xml:space="preserve"> باشد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73E15" w:rsidRPr="00994617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73E15" w:rsidRPr="00994617">
        <w:rPr>
          <w:rFonts w:ascii="IRBadr" w:hAnsi="IRBadr" w:cs="IRBadr"/>
          <w:sz w:val="28"/>
          <w:szCs w:val="28"/>
          <w:rtl/>
          <w:lang w:bidi="fa-IR"/>
        </w:rPr>
        <w:t xml:space="preserve">در مورد 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عرض مؤمن تأکید </w:t>
      </w:r>
      <w:r w:rsidR="00773E15" w:rsidRPr="00994617">
        <w:rPr>
          <w:rFonts w:ascii="IRBadr" w:hAnsi="IRBadr" w:cs="IRBadr"/>
          <w:sz w:val="28"/>
          <w:szCs w:val="28"/>
          <w:rtl/>
          <w:lang w:bidi="fa-IR"/>
        </w:rPr>
        <w:t xml:space="preserve">زیادی 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وجود دارد. </w:t>
      </w:r>
      <w:r w:rsidR="00773E15" w:rsidRPr="00994617">
        <w:rPr>
          <w:rFonts w:ascii="IRBadr" w:hAnsi="IRBadr" w:cs="IRBadr"/>
          <w:sz w:val="28"/>
          <w:szCs w:val="28"/>
          <w:rtl/>
          <w:lang w:bidi="fa-IR"/>
        </w:rPr>
        <w:t>لذا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بعید نیست که بگوییم اهم یا حداقل محتمل الاهمیه است.</w:t>
      </w:r>
    </w:p>
    <w:p w:rsidR="0059743C" w:rsidRPr="00994617" w:rsidRDefault="0018066A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اما در قبال 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>مال غیر</w:t>
      </w:r>
      <w:r w:rsidR="0059743C" w:rsidRPr="00994617">
        <w:rPr>
          <w:rFonts w:ascii="IRBadr" w:hAnsi="IRBadr" w:cs="IRBadr"/>
          <w:sz w:val="28"/>
          <w:szCs w:val="28"/>
          <w:rtl/>
          <w:lang w:bidi="fa-IR"/>
        </w:rPr>
        <w:t xml:space="preserve"> با قاطعیت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59743C" w:rsidRPr="00994617">
        <w:rPr>
          <w:rFonts w:ascii="IRBadr" w:hAnsi="IRBadr" w:cs="IRBadr"/>
          <w:sz w:val="28"/>
          <w:szCs w:val="28"/>
          <w:rtl/>
          <w:lang w:bidi="fa-IR"/>
        </w:rPr>
        <w:t xml:space="preserve"> گفت که از اهمیت بالاتری برخوردار بوده و بر قتل ساب حاکم خواهد شد.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59743C" w:rsidRPr="00994617">
        <w:rPr>
          <w:rFonts w:ascii="IRBadr" w:hAnsi="IRBadr" w:cs="IRBadr"/>
          <w:sz w:val="28"/>
          <w:szCs w:val="28"/>
          <w:rtl/>
          <w:lang w:bidi="fa-IR"/>
        </w:rPr>
        <w:t xml:space="preserve"> روایاتی که در قبال تقیه وجود دارد هر دو را یعنی هم مال و هم جان را دربر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59743C" w:rsidRPr="00994617">
        <w:rPr>
          <w:rFonts w:ascii="IRBadr" w:hAnsi="IRBadr" w:cs="IRBadr"/>
          <w:sz w:val="28"/>
          <w:szCs w:val="28"/>
          <w:rtl/>
          <w:lang w:bidi="fa-IR"/>
        </w:rPr>
        <w:t>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59743C" w:rsidRPr="00994617">
        <w:rPr>
          <w:rFonts w:ascii="IRBadr" w:hAnsi="IRBadr" w:cs="IRBadr"/>
          <w:sz w:val="28"/>
          <w:szCs w:val="28"/>
          <w:rtl/>
          <w:lang w:bidi="fa-IR"/>
        </w:rPr>
        <w:t xml:space="preserve"> بعید نیست که بتوان گفت مال نیز همانند جان از این اهمیت فوق برخوردار است.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بعید</w:t>
      </w:r>
      <w:r w:rsidR="0059743C" w:rsidRPr="00994617">
        <w:rPr>
          <w:rFonts w:ascii="IRBadr" w:hAnsi="IRBadr" w:cs="IRBadr"/>
          <w:sz w:val="28"/>
          <w:szCs w:val="28"/>
          <w:rtl/>
          <w:lang w:bidi="fa-IR"/>
        </w:rPr>
        <w:t xml:space="preserve"> نیست برخی از روایات تقیه اطلاق داشته باشد و مال را نیز دربر گیرد.</w:t>
      </w:r>
    </w:p>
    <w:p w:rsidR="00457166" w:rsidRPr="00994617" w:rsidRDefault="00457166" w:rsidP="000967A0">
      <w:pPr>
        <w:pStyle w:val="Heading2"/>
        <w:rPr>
          <w:rFonts w:ascii="IRBadr" w:hAnsi="IRBadr" w:cs="IRBadr"/>
          <w:rtl/>
        </w:rPr>
      </w:pPr>
      <w:bookmarkStart w:id="4" w:name="_Toc426570972"/>
      <w:r w:rsidRPr="00994617">
        <w:rPr>
          <w:rFonts w:ascii="IRBadr" w:hAnsi="IRBadr" w:cs="IRBadr"/>
          <w:rtl/>
        </w:rPr>
        <w:lastRenderedPageBreak/>
        <w:t>ابزار تشخیص در تزاحم</w:t>
      </w:r>
      <w:bookmarkEnd w:id="4"/>
    </w:p>
    <w:p w:rsidR="00457166" w:rsidRPr="00994617" w:rsidRDefault="0059743C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تشخیص اهم و مهم تابع آن مذاقی است که از شرع به دست می‌آید.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چندان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قانونمند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نیست که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جایی گفته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شود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این‌ها اهم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و دیگری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مهم است.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درجه‌بندی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چندانی در این زمینه وجود ندارد. لذا این تشخیص در اینجا 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دشواری زیادی دارد و عمدتاً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به نوع استظهار فقیه و مذاقی که او از شرع به دست می‌آورد.</w:t>
      </w:r>
    </w:p>
    <w:p w:rsidR="00457166" w:rsidRPr="00994617" w:rsidRDefault="000967A0" w:rsidP="000967A0">
      <w:pPr>
        <w:pStyle w:val="Heading2"/>
        <w:rPr>
          <w:rFonts w:ascii="IRBadr" w:hAnsi="IRBadr" w:cs="IRBadr"/>
          <w:rtl/>
        </w:rPr>
      </w:pPr>
      <w:bookmarkStart w:id="5" w:name="_Toc426570973"/>
      <w:r w:rsidRPr="00994617">
        <w:rPr>
          <w:rFonts w:ascii="IRBadr" w:hAnsi="IRBadr" w:cs="IRBadr"/>
          <w:rtl/>
        </w:rPr>
        <w:t>جمع‌بندی</w:t>
      </w:r>
      <w:bookmarkEnd w:id="5"/>
    </w:p>
    <w:p w:rsidR="00457166" w:rsidRPr="00994617" w:rsidRDefault="000967A0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تاکنون بیان شد،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بدین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ترتیب بود که؛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تزاحم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شکل‌گرفته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ازآنجایی‌که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قتل نفس از اهمیت بالاتری برخوردار است، حفظ جان بر قتل ساب حاکم خواهد بود اما در قبال مال،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تردیدی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وجود دارد و به نحوی قطعی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گفت که آن از اهمیت بالاتری برخوردار است.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به‌موجب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اطلاق قاعده تقیه در اینجا حکم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که در پی قتل ساب چه نفس،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457166" w:rsidRPr="00994617">
        <w:rPr>
          <w:rFonts w:ascii="IRBadr" w:hAnsi="IRBadr" w:cs="IRBadr"/>
          <w:sz w:val="28"/>
          <w:szCs w:val="28"/>
          <w:rtl/>
          <w:lang w:bidi="fa-IR"/>
        </w:rPr>
        <w:t xml:space="preserve"> عرض و چه مال خود یا دیگری به خطر بیفتد لازم است از قتل او خودداری نمود.</w:t>
      </w:r>
    </w:p>
    <w:p w:rsidR="00095743" w:rsidRPr="00994617" w:rsidRDefault="000967A0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هر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>شش صورت مشمول قاعده تقیه است. هم آن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سه صورتی که برای نفس خود شخص قاتل است، هم سه صورتی که برای دیگری است. همه این‌ها مشمول قاعده تقیه است. و فرقی نمی‌کند که اطمینان داشته باشد، یا احتمال بدهد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چون در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قاعده تقیه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وجود احتمال هم کافی است و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لازم نیست اطمینان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داشته با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>شد که خودش یا دیگری کشته می‌شود یا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عرض دیگری برده می‌شود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و یا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مال او یا دیگری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از بین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>،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احتمال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>اگر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عقلایی باشد قاعده تقیه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آن را دربر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می‌گیرد.</w:t>
      </w:r>
    </w:p>
    <w:p w:rsidR="00095743" w:rsidRPr="00994617" w:rsidRDefault="00095743" w:rsidP="000967A0">
      <w:pPr>
        <w:pStyle w:val="Heading3"/>
        <w:rPr>
          <w:rFonts w:ascii="IRBadr" w:hAnsi="IRBadr" w:cs="IRBadr"/>
          <w:rtl/>
        </w:rPr>
      </w:pPr>
      <w:bookmarkStart w:id="6" w:name="_Toc426570974"/>
      <w:r w:rsidRPr="00994617">
        <w:rPr>
          <w:rFonts w:ascii="IRBadr" w:hAnsi="IRBadr" w:cs="IRBadr"/>
          <w:rtl/>
        </w:rPr>
        <w:t>صورت هفتم</w:t>
      </w:r>
      <w:bookmarkEnd w:id="6"/>
    </w:p>
    <w:p w:rsidR="00095743" w:rsidRPr="00994617" w:rsidRDefault="00BE2856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علاوه بر این شش صورت که عملاً دوازده صورت می‌شد،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یک صورت دیگری هم داریم و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آنجایی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است که اقدام به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>قتل ساب النبی موجب استهزاء مذهب شود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منجر به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از بین رفتن اعتبار و آبروی مذهب یا مسلمانان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وهن مذهب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شود. این هم صورتی است که باز قاعده تقیه و قاعده تزاحم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آن را در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95743" w:rsidRPr="00994617" w:rsidRDefault="00BE2856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یکی از مصادیق جدی تقیه این است که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>مذهب مورد تمسخر و استهزاء قرار گیرد، روایات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هم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>موجود است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که مذهب و دین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نباید مورد تمسخر و استهزاء قرار گیرد، این هم ط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بعاً مشمول قاعده تقیه و تزاحم قرار می‌گیرد. 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>و همچنین اگر خطری متوجه حکومت اسلامی شود،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تقیه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آن را دربر خواهد گرفت.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به‌عبارتی‌دیگر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اگر حکومت مشروع مورد وهن یا تهدیدی قرار گیرد،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نیز یکی از مواطن احتیاط خواهد بود.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ائمه اطهار در مواردی از کارها منع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ازاین‌جهت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بود. لذا در مواردی حتی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شرایط</w:t>
      </w:r>
      <w:r w:rsidR="00095743" w:rsidRPr="00994617">
        <w:rPr>
          <w:rFonts w:ascii="IRBadr" w:hAnsi="IRBadr" w:cs="IRBadr"/>
          <w:sz w:val="28"/>
          <w:szCs w:val="28"/>
          <w:rtl/>
          <w:lang w:bidi="fa-IR"/>
        </w:rPr>
        <w:t xml:space="preserve"> نیز جمع است اما امام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به خاطر</w:t>
      </w:r>
      <w:r w:rsidR="00684211" w:rsidRPr="00994617">
        <w:rPr>
          <w:rFonts w:ascii="IRBadr" w:hAnsi="IRBadr" w:cs="IRBadr"/>
          <w:sz w:val="28"/>
          <w:szCs w:val="28"/>
          <w:rtl/>
          <w:lang w:bidi="fa-IR"/>
        </w:rPr>
        <w:t xml:space="preserve"> مصالحی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684211" w:rsidRPr="00994617">
        <w:rPr>
          <w:rFonts w:ascii="IRBadr" w:hAnsi="IRBadr" w:cs="IRBadr"/>
          <w:sz w:val="28"/>
          <w:szCs w:val="28"/>
          <w:rtl/>
          <w:lang w:bidi="fa-IR"/>
        </w:rPr>
        <w:t xml:space="preserve"> نباید این کار صورت بگیرد.</w:t>
      </w:r>
    </w:p>
    <w:p w:rsidR="00684211" w:rsidRPr="00994617" w:rsidRDefault="00684211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lastRenderedPageBreak/>
        <w:t>اما نکته این است،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موانعی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که عرض شد می‌تواند جلوی این حکم را بگیرد.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اما اینکه با او چگونه معامله خواهند کرد،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دیگری است که باید توسط حکومت بررسی شود.</w:t>
      </w:r>
    </w:p>
    <w:p w:rsidR="00684211" w:rsidRPr="00994617" w:rsidRDefault="00684211" w:rsidP="000967A0">
      <w:pPr>
        <w:pStyle w:val="Heading4"/>
        <w:ind w:firstLine="0"/>
        <w:rPr>
          <w:rFonts w:ascii="IRBadr" w:hAnsi="IRBadr" w:cs="IRBadr"/>
          <w:rtl/>
        </w:rPr>
      </w:pPr>
      <w:bookmarkStart w:id="7" w:name="_Toc426570975"/>
      <w:r w:rsidRPr="00994617">
        <w:rPr>
          <w:rFonts w:ascii="IRBadr" w:hAnsi="IRBadr" w:cs="IRBadr"/>
          <w:rtl/>
        </w:rPr>
        <w:t>اقسام خوف قتل</w:t>
      </w:r>
      <w:bookmarkEnd w:id="7"/>
    </w:p>
    <w:p w:rsidR="00734522" w:rsidRPr="00994617" w:rsidRDefault="00BE2856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خوف قتل دو قسم است، 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>گاهی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خوف قتل جابرانه 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>و گاهی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خوف قتل عادلانه است، یعنی احتمال می‌دهد ورثه او را 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 xml:space="preserve">دادگاه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ببرند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>او هم نمی‌تواند اثبات کند که س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ب نبی کرد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>ه است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دادگاه شرعی او را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محکوم‌به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قتل می‌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>کند. همین احتمال هم مانع می‌شود و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بازدارنده است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 xml:space="preserve"> و در حکم این است که به فرد امر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این حکم را اجرا نکن. این‌ها همه مصداق خوف قتل می‌شود.</w:t>
      </w:r>
    </w:p>
    <w:p w:rsidR="00734522" w:rsidRPr="00994617" w:rsidRDefault="00734522" w:rsidP="000967A0">
      <w:pPr>
        <w:pStyle w:val="Heading4"/>
        <w:ind w:firstLine="0"/>
        <w:rPr>
          <w:rFonts w:ascii="IRBadr" w:hAnsi="IRBadr" w:cs="IRBadr"/>
          <w:rtl/>
        </w:rPr>
      </w:pPr>
      <w:bookmarkStart w:id="8" w:name="_Toc426570976"/>
      <w:r w:rsidRPr="00994617">
        <w:rPr>
          <w:rFonts w:ascii="IRBadr" w:hAnsi="IRBadr" w:cs="IRBadr"/>
          <w:rtl/>
        </w:rPr>
        <w:t>استثناءیت اجرای حکم توسط حاکم</w:t>
      </w:r>
      <w:bookmarkEnd w:id="8"/>
    </w:p>
    <w:p w:rsidR="00734522" w:rsidRPr="00994617" w:rsidRDefault="000967A0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 xml:space="preserve"> که بارها بیان شد،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اجرای</w:t>
      </w:r>
      <w:r w:rsidR="00734522" w:rsidRPr="00994617">
        <w:rPr>
          <w:rFonts w:ascii="IRBadr" w:hAnsi="IRBadr" w:cs="IRBadr"/>
          <w:sz w:val="28"/>
          <w:szCs w:val="28"/>
          <w:rtl/>
          <w:lang w:bidi="fa-IR"/>
        </w:rPr>
        <w:t xml:space="preserve"> حدود وظیفه حاکم اسلامی است، اما چنانچه روایت هشام گذشت؛</w:t>
      </w:r>
    </w:p>
    <w:p w:rsidR="005B134D" w:rsidRPr="00994617" w:rsidRDefault="005B134D" w:rsidP="000967A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«عَلِی بْنُ إِبْرَاهِیمَ عَنْ أَبِیهِ عَنِ ابْنِ أَبِی عُمَیرٍ عَنْ هِشَامِ بْنِ سَالِمٍ عَنْ أَبِی عَبْدِ اللَّهِ ع أَنَّهُ سَأَلَ عَمَّنْ شَتَمَ رَسُولَ اللَّهِ ص فَقَالَ یقْتُلُهُ الْأَدْنَی فَالْأَدْنَی قَبْلَ أَنْ یرْفَعَهُ إِلَی الْإِمَامِ.»</w:t>
      </w:r>
      <w:r w:rsidRPr="0099461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734522" w:rsidRPr="00994617" w:rsidRDefault="00734522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این اطلاق در اینجا تخصیص خورده و فرد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بدون رجوع به حاکم و سلطان ساب را به قتل برساند.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الا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که در شریعت بدان تأکید شده است،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بوده که حدود به حاکم ارجاع داده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تقریبا</w:t>
      </w:r>
      <w:r w:rsidR="007E0650" w:rsidRPr="00994617">
        <w:rPr>
          <w:rFonts w:ascii="IRBadr" w:hAnsi="IRBadr" w:cs="IRBadr"/>
          <w:sz w:val="28"/>
          <w:szCs w:val="28"/>
          <w:rtl/>
          <w:lang w:bidi="fa-IR"/>
        </w:rPr>
        <w:t>ً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حکمی اجماعی بین فقها است غیر از</w:t>
      </w:r>
      <w:r w:rsidR="007E0650" w:rsidRPr="00994617">
        <w:rPr>
          <w:rFonts w:ascii="IRBadr" w:hAnsi="IRBadr" w:cs="IRBadr"/>
          <w:sz w:val="28"/>
          <w:szCs w:val="28"/>
          <w:rtl/>
          <w:lang w:bidi="fa-IR"/>
        </w:rPr>
        <w:t xml:space="preserve"> مفید و علامه که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="007E0650" w:rsidRPr="00994617">
        <w:rPr>
          <w:rFonts w:ascii="IRBadr" w:hAnsi="IRBadr" w:cs="IRBadr"/>
          <w:sz w:val="28"/>
          <w:szCs w:val="28"/>
          <w:rtl/>
          <w:lang w:bidi="fa-IR"/>
        </w:rPr>
        <w:t xml:space="preserve"> در اینجا نیز حد باید به حاکم ارجاع داده شود.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استناد</w:t>
      </w:r>
      <w:r w:rsidR="007E0650" w:rsidRPr="00994617">
        <w:rPr>
          <w:rFonts w:ascii="IRBadr" w:hAnsi="IRBadr" w:cs="IRBadr"/>
          <w:sz w:val="28"/>
          <w:szCs w:val="28"/>
          <w:rtl/>
          <w:lang w:bidi="fa-IR"/>
        </w:rPr>
        <w:t xml:space="preserve"> ایشان نیز به دو روایت ضعیف در باب دیات است.</w:t>
      </w:r>
    </w:p>
    <w:p w:rsidR="00734522" w:rsidRPr="00994617" w:rsidRDefault="007E0650" w:rsidP="000967A0">
      <w:pPr>
        <w:pStyle w:val="Heading4"/>
        <w:ind w:firstLine="0"/>
        <w:rPr>
          <w:rFonts w:ascii="IRBadr" w:hAnsi="IRBadr" w:cs="IRBadr"/>
          <w:rtl/>
        </w:rPr>
      </w:pPr>
      <w:bookmarkStart w:id="9" w:name="_Toc426570977"/>
      <w:r w:rsidRPr="00994617">
        <w:rPr>
          <w:rFonts w:ascii="IRBadr" w:hAnsi="IRBadr" w:cs="IRBadr"/>
          <w:rtl/>
        </w:rPr>
        <w:t>سب امام</w:t>
      </w:r>
      <w:bookmarkEnd w:id="9"/>
    </w:p>
    <w:p w:rsidR="00734522" w:rsidRPr="00994617" w:rsidRDefault="007E0650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تنبیه بعدی که باید بدان پرداخته شود این است که آیا این حکم مشمول امام نیز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؟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اگر فردی یکی از ائمه اطهار را مورد سب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قرارداد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،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او قتل خواهد بود؟</w:t>
      </w:r>
    </w:p>
    <w:p w:rsidR="007E0650" w:rsidRPr="00994617" w:rsidRDefault="007E0650" w:rsidP="000967A0">
      <w:pPr>
        <w:pStyle w:val="Heading4"/>
        <w:ind w:firstLine="0"/>
        <w:rPr>
          <w:rFonts w:ascii="IRBadr" w:hAnsi="IRBadr" w:cs="IRBadr"/>
          <w:rtl/>
        </w:rPr>
      </w:pPr>
      <w:bookmarkStart w:id="10" w:name="_Toc426570978"/>
      <w:r w:rsidRPr="00994617">
        <w:rPr>
          <w:rFonts w:ascii="IRBadr" w:hAnsi="IRBadr" w:cs="IRBadr"/>
          <w:rtl/>
        </w:rPr>
        <w:t xml:space="preserve">مستندات این </w:t>
      </w:r>
      <w:r w:rsidR="00994617">
        <w:rPr>
          <w:rFonts w:ascii="IRBadr" w:hAnsi="IRBadr" w:cs="IRBadr"/>
          <w:rtl/>
        </w:rPr>
        <w:t>مسئله</w:t>
      </w:r>
      <w:bookmarkEnd w:id="10"/>
    </w:p>
    <w:p w:rsidR="007E0650" w:rsidRPr="00994617" w:rsidRDefault="00BE2856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روایات این بحث در باب بیست و پنجم ابواب حد قذف، جلد هیجده، ابواب حد قذف، باب بیست و هفتم، صفحه چهارصد و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شصت‌ویک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0650" w:rsidRPr="00994617">
        <w:rPr>
          <w:rFonts w:ascii="IRBadr" w:hAnsi="IRBadr" w:cs="IRBadr"/>
          <w:sz w:val="28"/>
          <w:szCs w:val="28"/>
          <w:rtl/>
          <w:lang w:bidi="fa-IR"/>
        </w:rPr>
        <w:t>آمده است.</w:t>
      </w:r>
    </w:p>
    <w:p w:rsidR="007E0650" w:rsidRPr="00994617" w:rsidRDefault="007E0650" w:rsidP="000967A0">
      <w:pPr>
        <w:pStyle w:val="Heading4"/>
        <w:ind w:firstLine="0"/>
        <w:rPr>
          <w:rFonts w:ascii="IRBadr" w:hAnsi="IRBadr" w:cs="IRBadr"/>
          <w:rtl/>
        </w:rPr>
      </w:pPr>
      <w:bookmarkStart w:id="11" w:name="_Toc426570979"/>
      <w:r w:rsidRPr="00994617">
        <w:rPr>
          <w:rFonts w:ascii="IRBadr" w:hAnsi="IRBadr" w:cs="IRBadr"/>
          <w:rtl/>
        </w:rPr>
        <w:t>روایت اول</w:t>
      </w:r>
      <w:bookmarkEnd w:id="11"/>
    </w:p>
    <w:p w:rsidR="007E0650" w:rsidRPr="00994617" w:rsidRDefault="007E0650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lastRenderedPageBreak/>
        <w:t>اولین روایت سند معتبری دارد؛</w:t>
      </w:r>
    </w:p>
    <w:p w:rsidR="005B134D" w:rsidRPr="00994617" w:rsidRDefault="005B134D" w:rsidP="000967A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«عَنْهُ عَنْ عَلِی بْنِ الْحَکمِ عَنْ هِشَامِ بْنِ سَالِمٍ قَالَ قُلْتُ لِأَبِی عَبْدِ اللَّهِ ع مَا تَقُولُ فِی رَجُلٍ سَبَّابَةٍ لِعَلِی ع قَالَ فَقَالَ لِی حَلَالُ الدَّمِ وَ اللَّهِ لَوْ لَا أَنْ یغْمِزَ بَرِیئاً»</w:t>
      </w:r>
      <w:r w:rsidRPr="0099461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7E0650" w:rsidRPr="00994617" w:rsidRDefault="007E0650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>در این روایت فرموده شده است که؛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کسی که </w:t>
      </w:r>
      <w:r w:rsidR="00994617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ع) را سب می‌کند.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دمش حلال است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. اگر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 xml:space="preserve"> نباشد که این قتل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موجب شود آدم </w:t>
      </w:r>
      <w:r w:rsidR="000967A0" w:rsidRPr="00994617">
        <w:rPr>
          <w:rFonts w:ascii="IRBadr" w:hAnsi="IRBadr" w:cs="IRBadr"/>
          <w:sz w:val="28"/>
          <w:szCs w:val="28"/>
          <w:rtl/>
          <w:lang w:bidi="fa-IR"/>
        </w:rPr>
        <w:t>بی‌گناهی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 کشته </w:t>
      </w:r>
      <w:r w:rsidR="00BE2856" w:rsidRPr="00994617">
        <w:rPr>
          <w:rFonts w:ascii="IRBadr" w:hAnsi="IRBadr" w:cs="IRBadr"/>
          <w:sz w:val="28"/>
          <w:szCs w:val="28"/>
          <w:rtl/>
          <w:lang w:bidi="fa-IR"/>
        </w:rPr>
        <w:t>شود.</w:t>
      </w:r>
    </w:p>
    <w:p w:rsidR="007E0650" w:rsidRPr="00994617" w:rsidRDefault="007E0650" w:rsidP="000967A0">
      <w:pPr>
        <w:pStyle w:val="Heading4"/>
        <w:ind w:firstLine="0"/>
        <w:rPr>
          <w:rFonts w:ascii="IRBadr" w:hAnsi="IRBadr" w:cs="IRBadr"/>
          <w:rtl/>
        </w:rPr>
      </w:pPr>
      <w:bookmarkStart w:id="12" w:name="_Toc426570980"/>
      <w:r w:rsidRPr="00994617">
        <w:rPr>
          <w:rFonts w:ascii="IRBadr" w:hAnsi="IRBadr" w:cs="IRBadr"/>
          <w:rtl/>
        </w:rPr>
        <w:t>روایت دوم</w:t>
      </w:r>
      <w:bookmarkEnd w:id="12"/>
    </w:p>
    <w:p w:rsidR="007E0650" w:rsidRPr="00994617" w:rsidRDefault="00BE2856" w:rsidP="000967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94617">
        <w:rPr>
          <w:rFonts w:ascii="IRBadr" w:hAnsi="IRBadr" w:cs="IRBadr"/>
          <w:sz w:val="28"/>
          <w:szCs w:val="28"/>
          <w:rtl/>
          <w:lang w:bidi="fa-IR"/>
        </w:rPr>
        <w:t xml:space="preserve">حدیث دوم است </w:t>
      </w:r>
      <w:r w:rsidR="007E0650" w:rsidRPr="00994617">
        <w:rPr>
          <w:rFonts w:ascii="IRBadr" w:hAnsi="IRBadr" w:cs="IRBadr"/>
          <w:sz w:val="28"/>
          <w:szCs w:val="28"/>
          <w:rtl/>
          <w:lang w:bidi="fa-IR"/>
        </w:rPr>
        <w:t xml:space="preserve">این است </w:t>
      </w:r>
      <w:r w:rsidRPr="00994617">
        <w:rPr>
          <w:rFonts w:ascii="IRBadr" w:hAnsi="IRBadr" w:cs="IRBadr"/>
          <w:sz w:val="28"/>
          <w:szCs w:val="28"/>
          <w:rtl/>
          <w:lang w:bidi="fa-IR"/>
        </w:rPr>
        <w:t>که</w:t>
      </w:r>
      <w:r w:rsidR="007E0650" w:rsidRPr="00994617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5B134D" w:rsidRPr="00994617" w:rsidRDefault="005B134D" w:rsidP="000967A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عَنْهُ عَنْ أَحْمَدَ عَنْ عَلِ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الْحَ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مِ عَنْ رَبِ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عِ بْنِ مُحَمَّدٍ عَنْ عَبْدِ اللَّهِ بْنِ سُلَ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مَانَ الْعَامِرِ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قَالَ: قُلْتُ لِأَبِ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أَ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شَ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‌ءٍ تَقُولُ- فِ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سَمِعْتُهُ 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شْتِمُ عَلِ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اً ع وَ 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بْرَأُ مِنْهُ- قَالَ فَقَالَ لِ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اللَّهِ هُوَ حَلَالُ الدَّمِ- وَ مَا أَلْفٌ مِنْهُمْ بِرَجُلٍ مِنْ</w:t>
      </w:r>
      <w:r w:rsidR="000967A0"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99461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مْ دَعْهُ.» </w:t>
      </w:r>
      <w:r w:rsidRPr="0099461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7E0650" w:rsidRPr="00994617" w:rsidRDefault="00BE2856" w:rsidP="000967A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994617">
        <w:rPr>
          <w:rFonts w:ascii="IRBadr" w:hAnsi="IRBadr" w:cs="IRBadr"/>
          <w:sz w:val="28"/>
          <w:szCs w:val="28"/>
          <w:rtl/>
        </w:rPr>
        <w:t xml:space="preserve">هزار </w:t>
      </w:r>
      <w:r w:rsidR="007E0650" w:rsidRPr="00994617">
        <w:rPr>
          <w:rFonts w:ascii="IRBadr" w:hAnsi="IRBadr" w:cs="IRBadr"/>
          <w:sz w:val="28"/>
          <w:szCs w:val="28"/>
          <w:rtl/>
        </w:rPr>
        <w:t xml:space="preserve">نفر </w:t>
      </w:r>
      <w:r w:rsidRPr="00994617">
        <w:rPr>
          <w:rFonts w:ascii="IRBadr" w:hAnsi="IRBadr" w:cs="IRBadr"/>
          <w:sz w:val="28"/>
          <w:szCs w:val="28"/>
          <w:rtl/>
        </w:rPr>
        <w:t xml:space="preserve">این‌ها </w:t>
      </w:r>
      <w:r w:rsidR="000967A0" w:rsidRPr="00994617">
        <w:rPr>
          <w:rFonts w:ascii="IRBadr" w:hAnsi="IRBadr" w:cs="IRBadr"/>
          <w:sz w:val="28"/>
          <w:szCs w:val="28"/>
          <w:rtl/>
        </w:rPr>
        <w:t>به‌اندازه</w:t>
      </w:r>
      <w:r w:rsidRPr="00994617">
        <w:rPr>
          <w:rFonts w:ascii="IRBadr" w:hAnsi="IRBadr" w:cs="IRBadr"/>
          <w:sz w:val="28"/>
          <w:szCs w:val="28"/>
          <w:rtl/>
        </w:rPr>
        <w:t xml:space="preserve"> یک نفر شما نیست. یعنی اگر </w:t>
      </w:r>
      <w:r w:rsidR="000967A0" w:rsidRPr="00994617">
        <w:rPr>
          <w:rFonts w:ascii="IRBadr" w:hAnsi="IRBadr" w:cs="IRBadr"/>
          <w:sz w:val="28"/>
          <w:szCs w:val="28"/>
          <w:rtl/>
        </w:rPr>
        <w:t>می‌دانید</w:t>
      </w:r>
      <w:r w:rsidRPr="00994617">
        <w:rPr>
          <w:rFonts w:ascii="IRBadr" w:hAnsi="IRBadr" w:cs="IRBadr"/>
          <w:sz w:val="28"/>
          <w:szCs w:val="28"/>
          <w:rtl/>
        </w:rPr>
        <w:t xml:space="preserve"> یک نفر شما جانش قرار است به خطر بیافتد، </w:t>
      </w:r>
      <w:r w:rsidR="007E0650" w:rsidRPr="00994617">
        <w:rPr>
          <w:rFonts w:ascii="IRBadr" w:hAnsi="IRBadr" w:cs="IRBadr"/>
          <w:sz w:val="28"/>
          <w:szCs w:val="28"/>
          <w:rtl/>
        </w:rPr>
        <w:t>نباید حد ساب را جاری کنید.</w:t>
      </w:r>
    </w:p>
    <w:p w:rsidR="00152670" w:rsidRPr="00994617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994617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44" w:rsidRDefault="00A63244" w:rsidP="000D5800">
      <w:pPr>
        <w:spacing w:after="0" w:line="240" w:lineRule="auto"/>
      </w:pPr>
      <w:r>
        <w:separator/>
      </w:r>
    </w:p>
  </w:endnote>
  <w:endnote w:type="continuationSeparator" w:id="0">
    <w:p w:rsidR="00A63244" w:rsidRDefault="00A63244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44" w:rsidRDefault="00A63244" w:rsidP="005744E8">
      <w:pPr>
        <w:bidi/>
        <w:spacing w:after="0" w:line="240" w:lineRule="auto"/>
      </w:pPr>
      <w:r>
        <w:separator/>
      </w:r>
    </w:p>
  </w:footnote>
  <w:footnote w:type="continuationSeparator" w:id="0">
    <w:p w:rsidR="00A63244" w:rsidRDefault="00A63244" w:rsidP="000D5800">
      <w:pPr>
        <w:spacing w:after="0" w:line="240" w:lineRule="auto"/>
      </w:pPr>
      <w:r>
        <w:continuationSeparator/>
      </w:r>
    </w:p>
  </w:footnote>
  <w:footnote w:id="1">
    <w:p w:rsidR="005B134D" w:rsidRDefault="005B134D" w:rsidP="005B134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85F7C">
        <w:rPr>
          <w:rFonts w:ascii="Noor_Titr" w:hAnsi="Noor_Titr" w:cs="B Badr" w:hint="cs"/>
          <w:color w:val="000000" w:themeColor="text1"/>
          <w:rtl/>
        </w:rPr>
        <w:t>ال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A85F7C">
        <w:rPr>
          <w:rFonts w:ascii="Noor_Titr" w:hAnsi="Noor_Titr" w:cs="B Badr" w:hint="cs"/>
          <w:color w:val="000000" w:themeColor="text1"/>
          <w:rtl/>
        </w:rPr>
        <w:t>اف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A85F7C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A85F7C">
        <w:rPr>
          <w:rFonts w:ascii="Noor_Titr" w:hAnsi="Noor_Titr" w:cs="B Badr" w:hint="cs"/>
          <w:color w:val="000000" w:themeColor="text1"/>
          <w:rtl/>
        </w:rPr>
        <w:t xml:space="preserve">ة)؛ </w:t>
      </w:r>
      <w:r>
        <w:rPr>
          <w:rFonts w:ascii="Noor_Titr" w:hAnsi="Noor_Titr" w:cs="B Badr"/>
          <w:color w:val="000000" w:themeColor="text1"/>
          <w:rtl/>
        </w:rPr>
        <w:t>ج 7</w:t>
      </w:r>
      <w:r w:rsidRPr="00A85F7C">
        <w:rPr>
          <w:rFonts w:ascii="Noor_Titr" w:hAnsi="Noor_Titr" w:cs="B Badr" w:hint="cs"/>
          <w:color w:val="000000" w:themeColor="text1"/>
          <w:rtl/>
        </w:rPr>
        <w:t>، ص: 259</w:t>
      </w:r>
    </w:p>
  </w:footnote>
  <w:footnote w:id="2">
    <w:p w:rsidR="005B134D" w:rsidRDefault="005B134D" w:rsidP="005B134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027F5">
        <w:rPr>
          <w:rFonts w:ascii="Noor_Titr" w:hAnsi="Noor_Titr" w:cs="B Badr" w:hint="cs"/>
          <w:color w:val="000000" w:themeColor="text1"/>
          <w:rtl/>
        </w:rPr>
        <w:t>تهذ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5027F5">
        <w:rPr>
          <w:rFonts w:ascii="Noor_Titr" w:hAnsi="Noor_Titr" w:cs="B Badr" w:hint="cs"/>
          <w:color w:val="000000" w:themeColor="text1"/>
          <w:rtl/>
        </w:rPr>
        <w:t>ب الأح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5027F5">
        <w:rPr>
          <w:rFonts w:ascii="Noor_Titr" w:hAnsi="Noor_Titr" w:cs="B Badr" w:hint="cs"/>
          <w:color w:val="000000" w:themeColor="text1"/>
          <w:rtl/>
        </w:rPr>
        <w:t xml:space="preserve">ام؛ </w:t>
      </w:r>
      <w:r>
        <w:rPr>
          <w:rFonts w:ascii="Noor_Titr" w:hAnsi="Noor_Titr" w:cs="B Badr"/>
          <w:color w:val="000000" w:themeColor="text1"/>
          <w:rtl/>
        </w:rPr>
        <w:t>ج 10</w:t>
      </w:r>
      <w:r w:rsidRPr="005027F5">
        <w:rPr>
          <w:rFonts w:ascii="Noor_Titr" w:hAnsi="Noor_Titr" w:cs="B Badr" w:hint="cs"/>
          <w:color w:val="000000" w:themeColor="text1"/>
          <w:rtl/>
        </w:rPr>
        <w:t>، ص: 86</w:t>
      </w:r>
    </w:p>
  </w:footnote>
  <w:footnote w:id="3">
    <w:p w:rsidR="005B134D" w:rsidRDefault="005B134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B134D">
        <w:rPr>
          <w:rFonts w:ascii="Noor_Titr" w:hAnsi="Noor_Titr" w:cs="B Badr" w:hint="cs"/>
          <w:color w:val="000000" w:themeColor="text1"/>
          <w:rtl/>
        </w:rPr>
        <w:t>وسائل الش</w:t>
      </w:r>
      <w:r w:rsidR="000967A0">
        <w:rPr>
          <w:rFonts w:ascii="Noor_Titr" w:hAnsi="Noor_Titr" w:cs="B Badr" w:hint="cs"/>
          <w:color w:val="000000" w:themeColor="text1"/>
          <w:rtl/>
        </w:rPr>
        <w:t>ی</w:t>
      </w:r>
      <w:r w:rsidRPr="005B134D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0967A0">
        <w:rPr>
          <w:rFonts w:ascii="Noor_Titr" w:hAnsi="Noor_Titr" w:cs="B Badr"/>
          <w:color w:val="000000" w:themeColor="text1"/>
          <w:rtl/>
        </w:rPr>
        <w:t>ج 28</w:t>
      </w:r>
      <w:r w:rsidRPr="005B134D">
        <w:rPr>
          <w:rFonts w:ascii="Noor_Titr" w:hAnsi="Noor_Titr" w:cs="B Badr" w:hint="cs"/>
          <w:color w:val="000000" w:themeColor="text1"/>
          <w:rtl/>
        </w:rPr>
        <w:t>، ص: 215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BE2856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1E280EA" wp14:editId="59785B0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01180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794953CA" wp14:editId="0D205F5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0967A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E2856">
      <w:rPr>
        <w:rFonts w:ascii="IranNastaliq" w:hAnsi="IranNastaliq" w:cs="IranNastaliq" w:hint="cs"/>
        <w:sz w:val="40"/>
        <w:szCs w:val="40"/>
        <w:rtl/>
      </w:rPr>
      <w:t>819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56"/>
    <w:rsid w:val="000228A2"/>
    <w:rsid w:val="000324F1"/>
    <w:rsid w:val="00041FE0"/>
    <w:rsid w:val="00052BA3"/>
    <w:rsid w:val="0006363E"/>
    <w:rsid w:val="00080DFF"/>
    <w:rsid w:val="00085288"/>
    <w:rsid w:val="00085ED5"/>
    <w:rsid w:val="00095743"/>
    <w:rsid w:val="000967A0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066A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744AF"/>
    <w:rsid w:val="002914BD"/>
    <w:rsid w:val="00297263"/>
    <w:rsid w:val="002C56FD"/>
    <w:rsid w:val="002D49E4"/>
    <w:rsid w:val="002E450B"/>
    <w:rsid w:val="002E73F9"/>
    <w:rsid w:val="002F05B9"/>
    <w:rsid w:val="00307F83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25C3E"/>
    <w:rsid w:val="0044591E"/>
    <w:rsid w:val="00457166"/>
    <w:rsid w:val="004651D2"/>
    <w:rsid w:val="00465D26"/>
    <w:rsid w:val="004679F8"/>
    <w:rsid w:val="004B337F"/>
    <w:rsid w:val="004F3596"/>
    <w:rsid w:val="00513BA7"/>
    <w:rsid w:val="00572E2D"/>
    <w:rsid w:val="005744E8"/>
    <w:rsid w:val="00592103"/>
    <w:rsid w:val="005941DD"/>
    <w:rsid w:val="0059743C"/>
    <w:rsid w:val="005A545E"/>
    <w:rsid w:val="005A5862"/>
    <w:rsid w:val="005B0852"/>
    <w:rsid w:val="005B134D"/>
    <w:rsid w:val="005C06AE"/>
    <w:rsid w:val="00610C18"/>
    <w:rsid w:val="00612385"/>
    <w:rsid w:val="0061376C"/>
    <w:rsid w:val="00636EFA"/>
    <w:rsid w:val="0066229C"/>
    <w:rsid w:val="00684211"/>
    <w:rsid w:val="0069696C"/>
    <w:rsid w:val="006A085A"/>
    <w:rsid w:val="006D3A87"/>
    <w:rsid w:val="006F01B4"/>
    <w:rsid w:val="00734522"/>
    <w:rsid w:val="00734D59"/>
    <w:rsid w:val="0073609B"/>
    <w:rsid w:val="00752745"/>
    <w:rsid w:val="0076665E"/>
    <w:rsid w:val="00773E15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0650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E6930"/>
    <w:rsid w:val="008F63E3"/>
    <w:rsid w:val="00913C3B"/>
    <w:rsid w:val="00915509"/>
    <w:rsid w:val="00927388"/>
    <w:rsid w:val="009274FE"/>
    <w:rsid w:val="009401AC"/>
    <w:rsid w:val="009613AC"/>
    <w:rsid w:val="00980643"/>
    <w:rsid w:val="00994617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3244"/>
    <w:rsid w:val="00A725C2"/>
    <w:rsid w:val="00A769EE"/>
    <w:rsid w:val="00A810A5"/>
    <w:rsid w:val="00A9616A"/>
    <w:rsid w:val="00A96F68"/>
    <w:rsid w:val="00AA2342"/>
    <w:rsid w:val="00AD0304"/>
    <w:rsid w:val="00AD27BE"/>
    <w:rsid w:val="00AE2C82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E2856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0EE2"/>
    <w:rsid w:val="00F40284"/>
    <w:rsid w:val="00F67976"/>
    <w:rsid w:val="00F70BE1"/>
    <w:rsid w:val="00F90084"/>
    <w:rsid w:val="00FB1FDF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E28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B13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4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E28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B13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4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FA1D-626D-478B-9723-9E399FA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129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18</cp:revision>
  <dcterms:created xsi:type="dcterms:W3CDTF">2014-12-22T04:07:00Z</dcterms:created>
  <dcterms:modified xsi:type="dcterms:W3CDTF">2015-07-28T16:42:00Z</dcterms:modified>
</cp:coreProperties>
</file>