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F1" w:rsidRPr="00A97DFD" w:rsidRDefault="00351FA3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A97DF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350B21" w:rsidRPr="00A97DFD" w:rsidRDefault="00350B21" w:rsidP="00350B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350B21" w:rsidRPr="00A97DFD" w:rsidRDefault="00350B21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A97DFD">
        <w:rPr>
          <w:rFonts w:ascii="IRBadr" w:hAnsi="IRBadr" w:cs="IRBadr"/>
          <w:sz w:val="28"/>
          <w:rtl/>
        </w:rPr>
        <w:fldChar w:fldCharType="begin"/>
      </w:r>
      <w:r w:rsidRPr="00A97DFD">
        <w:rPr>
          <w:rFonts w:ascii="IRBadr" w:hAnsi="IRBadr" w:cs="IRBadr"/>
          <w:sz w:val="28"/>
          <w:rtl/>
        </w:rPr>
        <w:instrText xml:space="preserve"> </w:instrText>
      </w:r>
      <w:r w:rsidRPr="00A97DFD">
        <w:rPr>
          <w:rFonts w:ascii="IRBadr" w:hAnsi="IRBadr" w:cs="IRBadr"/>
          <w:sz w:val="28"/>
        </w:rPr>
        <w:instrText>TOC</w:instrText>
      </w:r>
      <w:r w:rsidRPr="00A97DFD">
        <w:rPr>
          <w:rFonts w:ascii="IRBadr" w:hAnsi="IRBadr" w:cs="IRBadr"/>
          <w:sz w:val="28"/>
          <w:rtl/>
        </w:rPr>
        <w:instrText xml:space="preserve"> \</w:instrText>
      </w:r>
      <w:r w:rsidRPr="00A97DFD">
        <w:rPr>
          <w:rFonts w:ascii="IRBadr" w:hAnsi="IRBadr" w:cs="IRBadr"/>
          <w:sz w:val="28"/>
        </w:rPr>
        <w:instrText>o "</w:instrText>
      </w:r>
      <w:r w:rsidRPr="00A97DFD">
        <w:rPr>
          <w:rFonts w:ascii="IRBadr" w:hAnsi="IRBadr" w:cs="IRBadr"/>
          <w:sz w:val="28"/>
          <w:rtl/>
        </w:rPr>
        <w:instrText>1-4</w:instrText>
      </w:r>
      <w:r w:rsidRPr="00A97DFD">
        <w:rPr>
          <w:rFonts w:ascii="IRBadr" w:hAnsi="IRBadr" w:cs="IRBadr"/>
          <w:sz w:val="28"/>
        </w:rPr>
        <w:instrText>" \h \z \u</w:instrText>
      </w:r>
      <w:r w:rsidRPr="00A97DFD">
        <w:rPr>
          <w:rFonts w:ascii="IRBadr" w:hAnsi="IRBadr" w:cs="IRBadr"/>
          <w:sz w:val="28"/>
          <w:rtl/>
        </w:rPr>
        <w:instrText xml:space="preserve"> </w:instrText>
      </w:r>
      <w:r w:rsidRPr="00A97DFD">
        <w:rPr>
          <w:rFonts w:ascii="IRBadr" w:hAnsi="IRBadr" w:cs="IRBadr"/>
          <w:sz w:val="28"/>
          <w:rtl/>
        </w:rPr>
        <w:fldChar w:fldCharType="separate"/>
      </w:r>
      <w:hyperlink w:anchor="_Toc426571038" w:history="1">
        <w:r w:rsidRPr="00A97DFD">
          <w:rPr>
            <w:rStyle w:val="Hyperlink"/>
            <w:rFonts w:ascii="IRBadr" w:hAnsi="IRBadr" w:cs="IRBadr"/>
            <w:noProof/>
            <w:rtl/>
          </w:rPr>
          <w:t>سب النبی (ص)</w:t>
        </w:r>
        <w:r w:rsidRPr="00A97DFD">
          <w:rPr>
            <w:rFonts w:ascii="IRBadr" w:hAnsi="IRBadr" w:cs="IRBadr"/>
            <w:noProof/>
            <w:webHidden/>
          </w:rPr>
          <w:tab/>
        </w:r>
        <w:r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A97DFD">
          <w:rPr>
            <w:rFonts w:ascii="IRBadr" w:hAnsi="IRBadr" w:cs="IRBadr"/>
            <w:noProof/>
            <w:webHidden/>
          </w:rPr>
          <w:instrText xml:space="preserve"> PAGEREF _Toc426571038 \h </w:instrText>
        </w:r>
        <w:r w:rsidRPr="00A97DFD">
          <w:rPr>
            <w:rStyle w:val="Hyperlink"/>
            <w:rFonts w:ascii="IRBadr" w:hAnsi="IRBadr" w:cs="IRBadr"/>
            <w:noProof/>
            <w:rtl/>
          </w:rPr>
        </w:r>
        <w:r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A97DFD">
          <w:rPr>
            <w:rFonts w:ascii="IRBadr" w:hAnsi="IRBadr" w:cs="IRBadr"/>
            <w:noProof/>
            <w:webHidden/>
          </w:rPr>
          <w:t>2</w:t>
        </w:r>
        <w:r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39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سرایت حکم به سب ائمه اطهار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_Toc426571039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2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0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روایتی در این مقام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_Toc426571040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2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1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تبادر اولیه از روایت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_Toc426571041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3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2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_Toc426571042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3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3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_Toc426571043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3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4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مناقشه اول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_Toc426571044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3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5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_Toc426571045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3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6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پاسخ مناقشه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_Toc426571046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3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7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مناقشه دوم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_Toc426571047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4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8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پاسخ مناقشه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_Toc426571048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4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49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احتمالات در ذیل روایت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_Toc426571049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4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0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_Toc426571050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4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1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_Toc426571051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5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2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احتمالات در امر به عدم تعرض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_Toc426571052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5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3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 اول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_Toc426571053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5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4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 دوم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_Toc426571054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5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5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 استنکار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_Toc426571055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5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6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احتمال چهارم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_Toc426571056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6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7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_Toc426571057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6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8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روایت دوم در این باب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_Toc426571058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6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59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_Toc426571059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6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60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_Toc426571060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7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61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ضرورت استعاذه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_Toc426571061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7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62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احاطه شرور در عالم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_Toc426571062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7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63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حقیقت استعاذه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_Toc426571063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8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64371A" w:rsidP="00350B2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1064" w:history="1">
        <w:r w:rsidR="00350B21" w:rsidRPr="00A97DFD">
          <w:rPr>
            <w:rStyle w:val="Hyperlink"/>
            <w:rFonts w:ascii="IRBadr" w:hAnsi="IRBadr" w:cs="IRBadr"/>
            <w:noProof/>
            <w:rtl/>
          </w:rPr>
          <w:t>اسماء خداوند</w:t>
        </w:r>
        <w:r w:rsidR="00350B21" w:rsidRPr="00A97DFD">
          <w:rPr>
            <w:rFonts w:ascii="IRBadr" w:hAnsi="IRBadr" w:cs="IRBadr"/>
            <w:noProof/>
            <w:webHidden/>
          </w:rPr>
          <w:tab/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50B21" w:rsidRPr="00A97DFD">
          <w:rPr>
            <w:rFonts w:ascii="IRBadr" w:hAnsi="IRBadr" w:cs="IRBadr"/>
            <w:noProof/>
            <w:webHidden/>
          </w:rPr>
          <w:instrText xml:space="preserve"> PAGEREF _Toc426571064 \h </w:instrText>
        </w:r>
        <w:r w:rsidR="00350B21" w:rsidRPr="00A97DFD">
          <w:rPr>
            <w:rStyle w:val="Hyperlink"/>
            <w:rFonts w:ascii="IRBadr" w:hAnsi="IRBadr" w:cs="IRBadr"/>
            <w:noProof/>
            <w:rtl/>
          </w:rPr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50B21" w:rsidRPr="00A97DFD">
          <w:rPr>
            <w:rFonts w:ascii="IRBadr" w:hAnsi="IRBadr" w:cs="IRBadr"/>
            <w:noProof/>
            <w:webHidden/>
          </w:rPr>
          <w:t>8</w:t>
        </w:r>
        <w:r w:rsidR="00350B21" w:rsidRPr="00A97D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50B21" w:rsidRPr="00A97DFD" w:rsidRDefault="00350B21" w:rsidP="00350B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lastRenderedPageBreak/>
        <w:fldChar w:fldCharType="end"/>
      </w:r>
    </w:p>
    <w:p w:rsidR="00A9172A" w:rsidRPr="00A97DFD" w:rsidRDefault="00FC5FCA" w:rsidP="00270468">
      <w:pPr>
        <w:pStyle w:val="Heading1"/>
        <w:rPr>
          <w:rFonts w:ascii="IRBadr" w:hAnsi="IRBadr" w:cs="IRBadr"/>
          <w:rtl/>
        </w:rPr>
      </w:pPr>
      <w:bookmarkStart w:id="1" w:name="_Toc426571038"/>
      <w:r w:rsidRPr="00A97DFD">
        <w:rPr>
          <w:rFonts w:ascii="IRBadr" w:hAnsi="IRBadr" w:cs="IRBadr"/>
          <w:rtl/>
        </w:rPr>
        <w:t>سب النبی (ص)</w:t>
      </w:r>
      <w:bookmarkEnd w:id="1"/>
    </w:p>
    <w:p w:rsidR="00FC5FCA" w:rsidRPr="00A97DFD" w:rsidRDefault="00FC5FCA" w:rsidP="00270468">
      <w:pPr>
        <w:pStyle w:val="Heading1"/>
        <w:rPr>
          <w:rFonts w:ascii="IRBadr" w:hAnsi="IRBadr" w:cs="IRBadr"/>
          <w:rtl/>
        </w:rPr>
      </w:pPr>
      <w:bookmarkStart w:id="2" w:name="_Toc426571039"/>
      <w:r w:rsidRPr="00A97DFD">
        <w:rPr>
          <w:rFonts w:ascii="IRBadr" w:hAnsi="IRBadr" w:cs="IRBadr"/>
          <w:rtl/>
        </w:rPr>
        <w:t>سرایت حکم به سب ائمه اطهار</w:t>
      </w:r>
      <w:bookmarkEnd w:id="2"/>
    </w:p>
    <w:p w:rsidR="00FC5FCA" w:rsidRPr="00A97DFD" w:rsidRDefault="00FC5FCA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یکی از فروع دیگری که در ذیل ساب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النبی (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ص) مطرح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 که آیا این حکم به ائمه اطهار نیز تسری پیدا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یا خیر؟ گفته شد مشهور بلکه اجماع فقهای خاصه بر این است که سب ائمه اطهار در حکم سب النبی (ص) است.</w:t>
      </w:r>
    </w:p>
    <w:p w:rsidR="00472AA6" w:rsidRPr="00A97DFD" w:rsidRDefault="00351FA3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دراین‌باره</w:t>
      </w:r>
      <w:r w:rsidR="00FC5FCA" w:rsidRPr="00A97DFD">
        <w:rPr>
          <w:rFonts w:ascii="IRBadr" w:hAnsi="IRBadr" w:cs="IRBadr"/>
          <w:sz w:val="28"/>
          <w:szCs w:val="28"/>
          <w:rtl/>
          <w:lang w:bidi="fa-IR"/>
        </w:rPr>
        <w:t xml:space="preserve"> روایاتی ذکر شد،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="00662ECE"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در این باب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662ECE" w:rsidRPr="00A97DFD">
        <w:rPr>
          <w:rFonts w:ascii="IRBadr" w:hAnsi="IRBadr" w:cs="IRBadr"/>
          <w:sz w:val="28"/>
          <w:szCs w:val="28"/>
          <w:rtl/>
          <w:lang w:bidi="fa-IR"/>
        </w:rPr>
        <w:t>، در جلد هیجده ابواب قذف باب بیست و هفتم است.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="00662ECE" w:rsidRPr="00A97DFD">
        <w:rPr>
          <w:rFonts w:ascii="IRBadr" w:hAnsi="IRBadr" w:cs="IRBadr"/>
          <w:sz w:val="28"/>
          <w:szCs w:val="28"/>
          <w:rtl/>
          <w:lang w:bidi="fa-IR"/>
        </w:rPr>
        <w:t xml:space="preserve"> روایت در این باب است که عمدتاً بخش دیگری از آن با همین بحث ساب ائمه ارتباط دارد.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روایت اول را متعرض شدیم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و قرار شد راجع به ذیل آن بحثی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کنیم.</w:t>
      </w:r>
    </w:p>
    <w:p w:rsidR="00472AA6" w:rsidRPr="00A97DFD" w:rsidRDefault="00472AA6" w:rsidP="00270468">
      <w:pPr>
        <w:pStyle w:val="Heading1"/>
        <w:rPr>
          <w:rFonts w:ascii="IRBadr" w:hAnsi="IRBadr" w:cs="IRBadr"/>
          <w:rtl/>
        </w:rPr>
      </w:pPr>
      <w:bookmarkStart w:id="3" w:name="_Toc426571040"/>
      <w:r w:rsidRPr="00A97DFD">
        <w:rPr>
          <w:rFonts w:ascii="IRBadr" w:hAnsi="IRBadr" w:cs="IRBadr"/>
          <w:rtl/>
        </w:rPr>
        <w:t>روایتی در این مقام</w:t>
      </w:r>
      <w:bookmarkEnd w:id="3"/>
    </w:p>
    <w:p w:rsidR="00472AA6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روایت به لحاظ سندی اعتبار خوبی داشت و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به‌این‌ترتیب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بود که هشام بن سالم سؤال می‌کند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EA32B6" w:rsidRPr="00A97DFD" w:rsidRDefault="00EA32B6" w:rsidP="00270468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«عَنْهُ عَنْ عَلِ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الْحَ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 عَنْ هِشَامِ بْنِ سَالِمٍ قَالَ قُلْتُ لِأَبِ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مَا تَقُولُ فِ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سَبَّابَةٍ لِعَلِ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قَالَ فَقَالَ لِ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حَلَالُ الدَّمِ وَ اللَّهِ لَوْ لَا أَنْ تَغْمِزَ بِهِ بَرِ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ئاً قَالَ قُلْتُ فَمَا تَقُولُ فِ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مُؤْذٍ لَنَا قَالَ فَقَالَ فِ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 ذَا قَالَ قُلْتُ فِ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ذْ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 فَقَالَ لِ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 لَهُ فِ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نَصِ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بٌ قُلْتُ إِنَّهُ لَ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ذَلِ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</w:t>
      </w:r>
      <w:r w:rsidR="00270468"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97DF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ظْهِرُهُ قَالَ لَا تَعَرَّضْ لَهُ.» </w:t>
      </w:r>
      <w:r w:rsidRPr="00A97DF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472AA6" w:rsidRPr="00A97DFD" w:rsidRDefault="00472AA6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کسی که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ع) را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سب می‌کند،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او چیست؟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اگر این اقدام تو موجب نمی‌شود که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بی‌گناهی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آسیب ببینید و مورد تعرض قرار بگیرد، می‌شود او را کشت. تا اینجا دلالت روشن است و این صدر روایت است. ذیل روایت که دیروز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به‌اجمال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خواندیم این است، نظر شما درباره کسی که ما یعنی شیعه 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 آزار می‌دهد چیست؟ حضرت فرمود: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چی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شما</w:t>
      </w:r>
      <w:r w:rsidR="00A97DF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آزار می‌دهد؟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هشام بن سالم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پاسخ می‌دهد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به بدی یاد می‌کند. متعرض شما می‌شود، امام فرمودند، آیا در این شخص در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بهره‌ای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است؟</w:t>
      </w:r>
    </w:p>
    <w:p w:rsidR="00472AA6" w:rsidRPr="00A97DFD" w:rsidRDefault="00472AA6" w:rsidP="00270468">
      <w:pPr>
        <w:pStyle w:val="Heading1"/>
        <w:rPr>
          <w:rFonts w:ascii="IRBadr" w:hAnsi="IRBadr" w:cs="IRBadr"/>
          <w:rtl/>
        </w:rPr>
      </w:pPr>
      <w:bookmarkStart w:id="4" w:name="_Toc426571041"/>
      <w:r w:rsidRPr="00A97DFD">
        <w:rPr>
          <w:rFonts w:ascii="IRBadr" w:hAnsi="IRBadr" w:cs="IRBadr"/>
          <w:rtl/>
        </w:rPr>
        <w:lastRenderedPageBreak/>
        <w:t>تبادر اولیه از روایت</w:t>
      </w:r>
      <w:bookmarkEnd w:id="4"/>
    </w:p>
    <w:p w:rsidR="00472AA6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می‌گوید بله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بهره‌ای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از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می‌فرماید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(ع)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بهره‌ای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متعرض او نشو. اولین چیزی که در این حدیث به ذهن می‌آید، این است که گویا حدیث 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>بین س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اب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صلوات‌الله‌علیه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و س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اب امام صادق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(ع) و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ائمه دیگر</w:t>
      </w:r>
      <w:r w:rsidR="00472AA6" w:rsidRPr="00A97DFD">
        <w:rPr>
          <w:rFonts w:ascii="IRBadr" w:hAnsi="IRBadr" w:cs="IRBadr"/>
          <w:sz w:val="28"/>
          <w:szCs w:val="28"/>
          <w:rtl/>
          <w:lang w:bidi="fa-IR"/>
        </w:rPr>
        <w:t xml:space="preserve"> تفاوت می‌گذارد.</w:t>
      </w:r>
    </w:p>
    <w:p w:rsidR="00472AA6" w:rsidRPr="00A97DFD" w:rsidRDefault="00774DEA" w:rsidP="00270468">
      <w:pPr>
        <w:pStyle w:val="Heading1"/>
        <w:rPr>
          <w:rFonts w:ascii="IRBadr" w:hAnsi="IRBadr" w:cs="IRBadr"/>
          <w:rtl/>
        </w:rPr>
      </w:pPr>
      <w:bookmarkStart w:id="5" w:name="_Toc426571042"/>
      <w:r w:rsidRPr="00A97DFD">
        <w:rPr>
          <w:rFonts w:ascii="IRBadr" w:hAnsi="IRBadr" w:cs="IRBadr"/>
          <w:rtl/>
        </w:rPr>
        <w:t>اتخاذ مبنا</w:t>
      </w:r>
      <w:bookmarkEnd w:id="5"/>
    </w:p>
    <w:p w:rsidR="00774DEA" w:rsidRPr="00A97DFD" w:rsidRDefault="00774DEA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اما این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تفصیلی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به هیچ نحو فقها آن را نپذیرفتند.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اشکال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در این روایت است. در این روایت چند بحث وجود دارد.</w:t>
      </w:r>
    </w:p>
    <w:p w:rsidR="00774DEA" w:rsidRPr="00A97DFD" w:rsidRDefault="00774DEA" w:rsidP="00270468">
      <w:pPr>
        <w:pStyle w:val="Heading1"/>
        <w:rPr>
          <w:rFonts w:ascii="IRBadr" w:hAnsi="IRBadr" w:cs="IRBadr"/>
          <w:rtl/>
        </w:rPr>
      </w:pPr>
      <w:bookmarkStart w:id="6" w:name="_Toc426571043"/>
      <w:r w:rsidRPr="00A97DFD">
        <w:rPr>
          <w:rFonts w:ascii="IRBadr" w:hAnsi="IRBadr" w:cs="IRBadr"/>
          <w:rtl/>
        </w:rPr>
        <w:t>بررسی دلالی روایت</w:t>
      </w:r>
      <w:bookmarkEnd w:id="6"/>
    </w:p>
    <w:p w:rsidR="00774DEA" w:rsidRPr="00A97DFD" w:rsidRDefault="00774DEA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در قبال این روایت ممکن است دو مناقشه به چشم بیاید.</w:t>
      </w:r>
    </w:p>
    <w:p w:rsidR="00774DEA" w:rsidRPr="00A97DFD" w:rsidRDefault="00774DEA" w:rsidP="00270468">
      <w:pPr>
        <w:pStyle w:val="Heading1"/>
        <w:rPr>
          <w:rFonts w:ascii="IRBadr" w:hAnsi="IRBadr" w:cs="IRBadr"/>
          <w:rtl/>
        </w:rPr>
      </w:pPr>
      <w:bookmarkStart w:id="7" w:name="_Toc426571044"/>
      <w:r w:rsidRPr="00A97DFD">
        <w:rPr>
          <w:rFonts w:ascii="IRBadr" w:hAnsi="IRBadr" w:cs="IRBadr"/>
          <w:rtl/>
        </w:rPr>
        <w:t>مناقشه اول</w:t>
      </w:r>
      <w:bookmarkEnd w:id="7"/>
    </w:p>
    <w:p w:rsidR="00774DEA" w:rsidRPr="00A97DFD" w:rsidRDefault="00774DEA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در روایت نسبت به ساب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امیرالمؤمنین (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ع) تعبیر سباب،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صیغه مبالغه وجود دارد که خود همین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نشانگر این باشد که حکم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در قبال فردی است که مکرراً این امر از او صادر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مؤمن نیز این شبهه را ذکر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74DEA" w:rsidRPr="00A97DFD" w:rsidRDefault="00774DEA" w:rsidP="00270468">
      <w:pPr>
        <w:pStyle w:val="Heading1"/>
        <w:rPr>
          <w:rFonts w:ascii="IRBadr" w:hAnsi="IRBadr" w:cs="IRBadr"/>
          <w:rtl/>
        </w:rPr>
      </w:pPr>
      <w:bookmarkStart w:id="8" w:name="_Toc426571045"/>
      <w:r w:rsidRPr="00A97DFD">
        <w:rPr>
          <w:rFonts w:ascii="IRBadr" w:hAnsi="IRBadr" w:cs="IRBadr"/>
          <w:rtl/>
        </w:rPr>
        <w:t>اتخاذ مبنا</w:t>
      </w:r>
      <w:bookmarkEnd w:id="8"/>
    </w:p>
    <w:p w:rsidR="00774DEA" w:rsidRPr="00A97DFD" w:rsidRDefault="00774DEA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سبابة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صیغه مبالغه بوده و این امر اخص از مدعی باشد،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مدعای ما این است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به‌مجرد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سب امام قتل بر او واجب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سبابة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774DEA" w:rsidRPr="00A97DFD" w:rsidRDefault="00774DEA" w:rsidP="00270468">
      <w:pPr>
        <w:pStyle w:val="Heading1"/>
        <w:rPr>
          <w:rFonts w:ascii="IRBadr" w:hAnsi="IRBadr" w:cs="IRBadr"/>
          <w:rtl/>
        </w:rPr>
      </w:pPr>
      <w:bookmarkStart w:id="9" w:name="_Toc426571046"/>
      <w:r w:rsidRPr="00A97DFD">
        <w:rPr>
          <w:rFonts w:ascii="IRBadr" w:hAnsi="IRBadr" w:cs="IRBadr"/>
          <w:rtl/>
        </w:rPr>
        <w:t>پاسخ مناقشه</w:t>
      </w:r>
      <w:bookmarkEnd w:id="9"/>
    </w:p>
    <w:p w:rsidR="00774DEA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جواب این شبهه این است که اگر ما بودیم و همین روایت، 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طبعاً امر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اخذ می‌کنیم، اما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 روایات دیگری نیز در این زمینه وجود دارد که در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 تعبیر به سب شده است.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 قرینه خواهند شد که مراد از سبابة در اینجا همان سب است.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="00774DEA" w:rsidRPr="00A97DFD">
        <w:rPr>
          <w:rFonts w:ascii="IRBadr" w:hAnsi="IRBadr" w:cs="IRBadr"/>
          <w:sz w:val="28"/>
          <w:szCs w:val="28"/>
          <w:rtl/>
          <w:lang w:bidi="fa-IR"/>
        </w:rPr>
        <w:t xml:space="preserve"> بر اینکه در مقام فتوی شهرت فتوایی بر آن قائم است.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به نظر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سبابة در اینجا صیغه مبالغه نیست.</w:t>
      </w:r>
    </w:p>
    <w:p w:rsidR="00774DEA" w:rsidRPr="00A97DFD" w:rsidRDefault="00B370E2" w:rsidP="00270468">
      <w:pPr>
        <w:pStyle w:val="Heading1"/>
        <w:rPr>
          <w:rFonts w:ascii="IRBadr" w:hAnsi="IRBadr" w:cs="IRBadr"/>
          <w:rtl/>
        </w:rPr>
      </w:pPr>
      <w:bookmarkStart w:id="10" w:name="_Toc426571047"/>
      <w:r w:rsidRPr="00A97DFD">
        <w:rPr>
          <w:rFonts w:ascii="IRBadr" w:hAnsi="IRBadr" w:cs="IRBadr"/>
          <w:rtl/>
        </w:rPr>
        <w:lastRenderedPageBreak/>
        <w:t>مناقشه دوم</w:t>
      </w:r>
      <w:bookmarkEnd w:id="10"/>
    </w:p>
    <w:p w:rsidR="00B370E2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مناقشه دیگری که در صدر این روایت شریفه ممکن است مطر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ح بشود، این است که حضرت فرمودند: خون او حلال است،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جمله در وجوب ظهوری ندارد،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دلالتش بر وجوب است.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فتوای فقها بر وجوب است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وجوب از این روایت استفاده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370E2" w:rsidRPr="00A97DFD" w:rsidRDefault="00B370E2" w:rsidP="00270468">
      <w:pPr>
        <w:pStyle w:val="Heading1"/>
        <w:rPr>
          <w:rFonts w:ascii="IRBadr" w:hAnsi="IRBadr" w:cs="IRBadr"/>
          <w:rtl/>
        </w:rPr>
      </w:pPr>
      <w:bookmarkStart w:id="11" w:name="_Toc426571048"/>
      <w:r w:rsidRPr="00A97DFD">
        <w:rPr>
          <w:rFonts w:ascii="IRBadr" w:hAnsi="IRBadr" w:cs="IRBadr"/>
          <w:rtl/>
        </w:rPr>
        <w:t>پاسخ مناقشه</w:t>
      </w:r>
      <w:bookmarkEnd w:id="11"/>
    </w:p>
    <w:p w:rsidR="00B370E2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پاسخ این مناقشه این است که؛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در این زمینه روایات دیگری نیز وجود دارد که از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وجوب استفاده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. علاوه بر آن در خود روایت نیز قسمی وجود دارد که نه دلیل، بلکه مؤیدی برای الزام و وجوب است.</w:t>
      </w:r>
    </w:p>
    <w:p w:rsidR="00B370E2" w:rsidRPr="00A97DFD" w:rsidRDefault="00B370E2" w:rsidP="00270468">
      <w:pPr>
        <w:pStyle w:val="Heading1"/>
        <w:rPr>
          <w:rFonts w:ascii="IRBadr" w:hAnsi="IRBadr" w:cs="IRBadr"/>
          <w:rtl/>
        </w:rPr>
      </w:pPr>
      <w:bookmarkStart w:id="12" w:name="_Toc426571049"/>
      <w:r w:rsidRPr="00A97DFD">
        <w:rPr>
          <w:rFonts w:ascii="IRBadr" w:hAnsi="IRBadr" w:cs="IRBadr"/>
          <w:rtl/>
        </w:rPr>
        <w:t>احتمالات در ذیل روایت</w:t>
      </w:r>
      <w:bookmarkEnd w:id="12"/>
    </w:p>
    <w:p w:rsidR="00B370E2" w:rsidRPr="00A97DFD" w:rsidRDefault="00D141F1" w:rsidP="00A97DF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در ذیل چند احتمال وجود دارد. اولاً کلمه نصیب در نسخه‌هایی نصیب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است. منتها مرحوم علامه مجلسی در مرآ</w:t>
      </w:r>
      <w:r w:rsidR="00A97DFD">
        <w:rPr>
          <w:rFonts w:ascii="IRBadr" w:hAnsi="IRBadr" w:cs="IRBadr" w:hint="cs"/>
          <w:sz w:val="28"/>
          <w:szCs w:val="28"/>
          <w:rtl/>
          <w:lang w:bidi="fa-IR"/>
        </w:rPr>
        <w:t>ة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العقول طبق آنچه از ایشان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است، احتمال می‌دهند نصیب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اینجا تحریف نصب باشد. منتها در نوشته‌ها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تصحیف شده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نصیب درآمده است.</w:t>
      </w:r>
    </w:p>
    <w:p w:rsidR="00B370E2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نیست که 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در خود کتب روایی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نسخه بدلی داشته باشیم، بلکه 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این تحلیل مرحوم علامه مجلسی است و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بین این دو خیلی فرق است. 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چه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در فروع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چه در علل الشرایع مرحوم صدوق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 چه در تهذیب مرحوم شیخ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>، این روایت با کلمه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نصیب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 آورده شده است.</w:t>
      </w:r>
    </w:p>
    <w:p w:rsidR="00B370E2" w:rsidRPr="00A97DFD" w:rsidRDefault="00B370E2" w:rsidP="00270468">
      <w:pPr>
        <w:pStyle w:val="Heading1"/>
        <w:rPr>
          <w:rFonts w:ascii="IRBadr" w:hAnsi="IRBadr" w:cs="IRBadr"/>
          <w:rtl/>
        </w:rPr>
      </w:pPr>
      <w:bookmarkStart w:id="13" w:name="_Toc426571050"/>
      <w:r w:rsidRPr="00A97DFD">
        <w:rPr>
          <w:rFonts w:ascii="IRBadr" w:hAnsi="IRBadr" w:cs="IRBadr"/>
          <w:rtl/>
        </w:rPr>
        <w:t>اتخاذ مبنا</w:t>
      </w:r>
      <w:bookmarkEnd w:id="13"/>
    </w:p>
    <w:p w:rsidR="00417EDE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70E2" w:rsidRPr="00A97DFD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این احتمال قطعاً درست نیست، برای اینکه وجهی ندارد نصیب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را حمل بر نصب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کنیم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 و از طرفی نیز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اختلاف نسخ نیست که مبتلای به آن بحث‌ها باشیم.</w:t>
      </w:r>
    </w:p>
    <w:p w:rsidR="00417EDE" w:rsidRPr="00A97DFD" w:rsidRDefault="00417EDE" w:rsidP="00270468">
      <w:pPr>
        <w:pStyle w:val="Heading1"/>
        <w:rPr>
          <w:rFonts w:ascii="IRBadr" w:hAnsi="IRBadr" w:cs="IRBadr"/>
          <w:rtl/>
        </w:rPr>
      </w:pPr>
      <w:bookmarkStart w:id="14" w:name="_Toc426571051"/>
      <w:r w:rsidRPr="00A97DFD">
        <w:rPr>
          <w:rFonts w:ascii="IRBadr" w:hAnsi="IRBadr" w:cs="IRBadr"/>
          <w:rtl/>
        </w:rPr>
        <w:lastRenderedPageBreak/>
        <w:t>احتمال دوم</w:t>
      </w:r>
      <w:bookmarkEnd w:id="14"/>
    </w:p>
    <w:p w:rsidR="00417EDE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احتمال دوم این است که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برای او در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امیرالمؤمنین (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نصیب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ی است و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احتمال دوم این باشد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 شخصی که به من بد می‌گوید، آیا بهره خوبی در مورد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دارد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یعنی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نسبت به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(ع)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محبت دارد یا نه؟ که جواب می‌دهد بله او محبت دارد، بهره نیکو دارد و اظهارش می‌کند. یعنی به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علاقه‌مند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 منتها به شما بد می‌گوید.</w:t>
      </w:r>
    </w:p>
    <w:p w:rsidR="00417EDE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مثل فرق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انشعاباتی که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در شیعه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در طول تاریخ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پیدا شد.</w:t>
      </w:r>
    </w:p>
    <w:p w:rsidR="00417EDE" w:rsidRPr="00A97DFD" w:rsidRDefault="00417EDE" w:rsidP="00270468">
      <w:pPr>
        <w:pStyle w:val="Heading1"/>
        <w:rPr>
          <w:rFonts w:ascii="IRBadr" w:hAnsi="IRBadr" w:cs="IRBadr"/>
          <w:rtl/>
        </w:rPr>
      </w:pPr>
      <w:bookmarkStart w:id="15" w:name="_Toc426571052"/>
      <w:r w:rsidRPr="00A97DFD">
        <w:rPr>
          <w:rFonts w:ascii="IRBadr" w:hAnsi="IRBadr" w:cs="IRBadr"/>
          <w:rtl/>
        </w:rPr>
        <w:t>احتمالات در امر به عدم تعرض</w:t>
      </w:r>
      <w:bookmarkEnd w:id="15"/>
    </w:p>
    <w:p w:rsidR="00417EDE" w:rsidRPr="00A97DFD" w:rsidRDefault="00417EDE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اگر احتمال دوم صحیح باشد،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امر امام به عدم تعرض دو احتمال وجود دارد؛</w:t>
      </w:r>
    </w:p>
    <w:p w:rsidR="00417EDE" w:rsidRPr="00A97DFD" w:rsidRDefault="00417EDE" w:rsidP="00270468">
      <w:pPr>
        <w:pStyle w:val="Heading1"/>
        <w:rPr>
          <w:rFonts w:ascii="IRBadr" w:hAnsi="IRBadr" w:cs="IRBadr"/>
          <w:rtl/>
        </w:rPr>
      </w:pPr>
      <w:bookmarkStart w:id="16" w:name="_Toc426571053"/>
      <w:r w:rsidRPr="00A97DFD">
        <w:rPr>
          <w:rFonts w:ascii="IRBadr" w:hAnsi="IRBadr" w:cs="IRBadr"/>
          <w:rtl/>
        </w:rPr>
        <w:t>احتمال اول</w:t>
      </w:r>
      <w:bookmarkEnd w:id="16"/>
    </w:p>
    <w:p w:rsidR="00417EDE" w:rsidRPr="00A97DFD" w:rsidRDefault="00417EDE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احتمال اول این است که بگوییم؛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امر امری واقعی است.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روایات استفاده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نسبت به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امیرالمؤمنین (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ع) بر سایر ائمه اطهار فضیلتی وجود دارد،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اگر نسبت به ایشان محبتی دارد،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متعرض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او نشو. البته برای این احتمال ظهوری وجود دارد،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کسی بدان قائل نشده است.</w:t>
      </w:r>
    </w:p>
    <w:p w:rsidR="00417EDE" w:rsidRPr="00A97DFD" w:rsidRDefault="00417EDE" w:rsidP="00270468">
      <w:pPr>
        <w:pStyle w:val="Heading1"/>
        <w:rPr>
          <w:rFonts w:ascii="IRBadr" w:hAnsi="IRBadr" w:cs="IRBadr"/>
          <w:rtl/>
        </w:rPr>
      </w:pPr>
      <w:bookmarkStart w:id="17" w:name="_Toc426571054"/>
      <w:r w:rsidRPr="00A97DFD">
        <w:rPr>
          <w:rFonts w:ascii="IRBadr" w:hAnsi="IRBadr" w:cs="IRBadr"/>
          <w:rtl/>
        </w:rPr>
        <w:t>احتمال دوم</w:t>
      </w:r>
      <w:bookmarkEnd w:id="17"/>
    </w:p>
    <w:p w:rsidR="00417EDE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احتمال دوم این است که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آن امر،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حکم واقعی در شرایط عادی نیست.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ناظر به شرایط تقیه است.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امام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می‌گوید متعرض او نشو چون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سختی </w:t>
      </w:r>
      <w:r w:rsidR="00417EDE" w:rsidRPr="00A97DFD">
        <w:rPr>
          <w:rFonts w:ascii="IRBadr" w:hAnsi="IRBadr" w:cs="IRBadr"/>
          <w:sz w:val="28"/>
          <w:szCs w:val="28"/>
          <w:rtl/>
          <w:lang w:bidi="fa-IR"/>
        </w:rPr>
        <w:t>خواهی افتاد.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 فعل را حمل بر حالت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تقیه‌ای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342D8" w:rsidRPr="00A97DFD" w:rsidRDefault="009342D8" w:rsidP="00270468">
      <w:pPr>
        <w:pStyle w:val="Heading1"/>
        <w:rPr>
          <w:rFonts w:ascii="IRBadr" w:hAnsi="IRBadr" w:cs="IRBadr"/>
          <w:rtl/>
        </w:rPr>
      </w:pPr>
      <w:bookmarkStart w:id="18" w:name="_Toc426571055"/>
      <w:r w:rsidRPr="00A97DFD">
        <w:rPr>
          <w:rFonts w:ascii="IRBadr" w:hAnsi="IRBadr" w:cs="IRBadr"/>
          <w:rtl/>
        </w:rPr>
        <w:t>احتمال استنکار</w:t>
      </w:r>
      <w:bookmarkEnd w:id="18"/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در همین روایت احتمال دیگر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خیلی تأثیر ندارد. که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منظور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نصیب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استفاده استنکاری باشد.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فردی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به ما بد می‌گوید، آیا در مورد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خوب می‌گوید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او می‌گوید بله، او می‌خواهد بگوید در حقیقت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را قبول ندارد که به ما بد می‌گوید.</w:t>
      </w:r>
    </w:p>
    <w:p w:rsidR="009342D8" w:rsidRPr="00A97DFD" w:rsidRDefault="009342D8" w:rsidP="00270468">
      <w:pPr>
        <w:pStyle w:val="Heading1"/>
        <w:rPr>
          <w:rFonts w:ascii="IRBadr" w:hAnsi="IRBadr" w:cs="IRBadr"/>
          <w:rtl/>
        </w:rPr>
      </w:pPr>
      <w:bookmarkStart w:id="19" w:name="_Toc426571056"/>
      <w:r w:rsidRPr="00A97DFD">
        <w:rPr>
          <w:rFonts w:ascii="IRBadr" w:hAnsi="IRBadr" w:cs="IRBadr"/>
          <w:rtl/>
        </w:rPr>
        <w:lastRenderedPageBreak/>
        <w:t>احتمال چهارم</w:t>
      </w:r>
      <w:bookmarkEnd w:id="19"/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احتمال چهارمی که در روایت است، این است که ضمیر له به آن شخص برنگردد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بلکه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به ذکر برگردد. یعنی این بدگویی به ما به بدگویی به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(ع) می‌گردد؟</w:t>
      </w:r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او می‌گوید بله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342D8" w:rsidRPr="00A97DFD" w:rsidRDefault="009342D8" w:rsidP="00270468">
      <w:pPr>
        <w:pStyle w:val="Heading1"/>
        <w:rPr>
          <w:rFonts w:ascii="IRBadr" w:hAnsi="IRBadr" w:cs="IRBadr"/>
          <w:rtl/>
        </w:rPr>
      </w:pPr>
      <w:bookmarkStart w:id="20" w:name="_Toc426571057"/>
      <w:r w:rsidRPr="00A97DFD">
        <w:rPr>
          <w:rFonts w:ascii="IRBadr" w:hAnsi="IRBadr" w:cs="IRBadr"/>
          <w:rtl/>
        </w:rPr>
        <w:t>اتخاذ مبنا</w:t>
      </w:r>
      <w:bookmarkEnd w:id="20"/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این هم احتمال دیگری است که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این هم خلاف ظاهر است.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بیشترین احتمالی که به نظر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از قوت برخوردار باشد، احتمال دوم است.</w:t>
      </w:r>
    </w:p>
    <w:p w:rsidR="009342D8" w:rsidRPr="00A97DFD" w:rsidRDefault="009342D8" w:rsidP="00270468">
      <w:pPr>
        <w:pStyle w:val="Heading1"/>
        <w:rPr>
          <w:rFonts w:ascii="IRBadr" w:hAnsi="IRBadr" w:cs="IRBadr"/>
          <w:rtl/>
        </w:rPr>
      </w:pPr>
      <w:bookmarkStart w:id="21" w:name="_Toc426571058"/>
      <w:r w:rsidRPr="00A97DFD">
        <w:rPr>
          <w:rFonts w:ascii="IRBadr" w:hAnsi="IRBadr" w:cs="IRBadr"/>
          <w:rtl/>
        </w:rPr>
        <w:t>روایت دوم در این باب</w:t>
      </w:r>
      <w:bookmarkEnd w:id="21"/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روایت دوم در این باب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EA32B6" w:rsidRPr="00A97DFD" w:rsidRDefault="00EA32B6" w:rsidP="00270468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A97DF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«وَ عَنْهُ عَنْ أَحْمَدَ عَنْ عَلِی بْنِ الْحَکمِ عَنْ رَبِیعِ بْنِ مُحَمَّدٍ عَنْ عَبْدِ اللَّهِ بْنِ سُلَیمَانَ الْعَامِرِی قَالَ: قُلْتُ لِأَبِی عَبْدِ اللَّهِ ع أَی شَی‌ءٍ تَقُولُ- فِی رَجُلٍ سَمِعْتُهُ یشْتِمُ عَلِیاً ع وَ یبْرَأُ مِنْهُ- قَالَ فَقَالَ لِی وَ اللَّهِ هُوَ حَلَالُ الدَّمِ- وَ مَا أَلْفٌ مِنْهُمْ بِرَجُلٍ مِنْکمْ دَعْهُ.» </w:t>
      </w:r>
      <w:r w:rsidRPr="00A97DF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کسی که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را شتم می‌کند و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از او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تبری می‌جوید،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امام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می‌فرماید هزار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نفر از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آن‌ها ارزش یک نفر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ندارند. آن‌ها را رها بکن. این معنایش این است که جایی که خودت را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درخطر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می‌بینی، دیگر اقدام به این کار نکن.</w:t>
      </w:r>
    </w:p>
    <w:p w:rsidR="009342D8" w:rsidRPr="00A97DFD" w:rsidRDefault="009342D8" w:rsidP="00270468">
      <w:pPr>
        <w:pStyle w:val="Heading1"/>
        <w:rPr>
          <w:rFonts w:ascii="IRBadr" w:hAnsi="IRBadr" w:cs="IRBadr"/>
          <w:rtl/>
        </w:rPr>
      </w:pPr>
      <w:bookmarkStart w:id="22" w:name="_Toc426571059"/>
      <w:r w:rsidRPr="00A97DFD">
        <w:rPr>
          <w:rFonts w:ascii="IRBadr" w:hAnsi="IRBadr" w:cs="IRBadr"/>
          <w:rtl/>
        </w:rPr>
        <w:t>بررسی روایت</w:t>
      </w:r>
      <w:bookmarkEnd w:id="22"/>
    </w:p>
    <w:p w:rsidR="009342D8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 روایت دلالتش روشن است. منتها از سند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عنه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عن احمد عن علی بن حکم تا اینجا معتبر هستند، اما ربیع بن محمد توثیق خاص ندارد، از رجال کامل الزیارات است که آن را قبول نداریم. لذا ربیع بن محمد </w:t>
      </w:r>
      <w:r w:rsidR="00A97DFD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نظر اولی آقای خویی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اعتبار دارد.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بن سلیمان عامری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توثیق خاص ندارد.</w:t>
      </w:r>
    </w:p>
    <w:p w:rsidR="009342D8" w:rsidRPr="00A97DFD" w:rsidRDefault="009342D8" w:rsidP="00270468">
      <w:pPr>
        <w:pStyle w:val="Heading1"/>
        <w:rPr>
          <w:rFonts w:ascii="IRBadr" w:hAnsi="IRBadr" w:cs="IRBadr"/>
          <w:rtl/>
        </w:rPr>
      </w:pPr>
      <w:bookmarkStart w:id="23" w:name="_Toc426571060"/>
      <w:r w:rsidRPr="00A97DFD">
        <w:rPr>
          <w:rFonts w:ascii="IRBadr" w:hAnsi="IRBadr" w:cs="IRBadr"/>
          <w:rtl/>
        </w:rPr>
        <w:lastRenderedPageBreak/>
        <w:t>اتخاذ مبنا</w:t>
      </w:r>
      <w:bookmarkEnd w:id="23"/>
    </w:p>
    <w:p w:rsidR="00E4214E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وجود دارد،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بن سلیمان عامری از رجال صفوان است.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 او از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کسانی است که صفوان از او نقل کرده است. و ما گفتیم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اگر کسی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از رجال صفوان و ابن ابی عمیر و بزنطی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 xml:space="preserve">نامش در روایت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بیاید</w:t>
      </w:r>
      <w:r w:rsidR="009342D8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توثیق می‌شود. بنابراین این روایت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دلالت خوب است، ولی </w:t>
      </w:r>
      <w:r w:rsidR="00351FA3" w:rsidRPr="00A97DFD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سند خالی از اشکال و ضعف نیست.</w:t>
      </w:r>
    </w:p>
    <w:p w:rsidR="00E4214E" w:rsidRPr="00A97DFD" w:rsidRDefault="00E4214E" w:rsidP="00270468">
      <w:pPr>
        <w:pStyle w:val="Heading2"/>
        <w:rPr>
          <w:rFonts w:ascii="IRBadr" w:hAnsi="IRBadr" w:cs="IRBadr"/>
          <w:rtl/>
        </w:rPr>
      </w:pPr>
      <w:bookmarkStart w:id="24" w:name="_Toc426571061"/>
      <w:r w:rsidRPr="00A97DFD">
        <w:rPr>
          <w:rFonts w:ascii="IRBadr" w:hAnsi="IRBadr" w:cs="IRBadr"/>
          <w:rtl/>
        </w:rPr>
        <w:t>ضرورت استعاذه</w:t>
      </w:r>
      <w:bookmarkEnd w:id="24"/>
    </w:p>
    <w:p w:rsidR="00E4214E" w:rsidRPr="00A97DFD" w:rsidRDefault="00E4214E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در قرآن کریم،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ادعیه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با تعابیر مختلف به استعاذه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خوانده‌شده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عباراتی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چون التجاع،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اعتصام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فرار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الی الله و ...</w:t>
      </w:r>
    </w:p>
    <w:p w:rsidR="00E4214E" w:rsidRPr="00A97DFD" w:rsidRDefault="00E4214E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استعاذه با استعانت متفاوت است، گاهی انسان از خدا کمک می‌گیرد برای اینکه کاری را انجام دهد،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استعاذه بار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دارد. استعاذه این است که انسان با خطری مواجه است و خودش را می‌خواهد از خطر رهایی ببخشد.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و پیغمبر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اکرم (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ص)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در سوره معوذتین س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وره‌هایی است که خیلی فضیلت دارد،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مأمور شدند به استعاذه بالله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.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انسان مؤمن کسی است که در همه احوال حال استعاذه دارد. چون منهای خدا، حال ما همیشه مواجه با شرور است. یعنی ما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چون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محاط به شرور هستیم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شرور ما را گرفته است.</w:t>
      </w:r>
    </w:p>
    <w:p w:rsidR="00261386" w:rsidRPr="00A97DFD" w:rsidRDefault="00261386" w:rsidP="00270468">
      <w:pPr>
        <w:pStyle w:val="Heading2"/>
        <w:rPr>
          <w:rFonts w:ascii="IRBadr" w:hAnsi="IRBadr" w:cs="IRBadr"/>
          <w:rtl/>
        </w:rPr>
      </w:pPr>
      <w:bookmarkStart w:id="25" w:name="_Toc426571062"/>
      <w:r w:rsidRPr="00A97DFD">
        <w:rPr>
          <w:rFonts w:ascii="IRBadr" w:hAnsi="IRBadr" w:cs="IRBadr"/>
          <w:rtl/>
        </w:rPr>
        <w:t>احاطه شرور در عالم</w:t>
      </w:r>
      <w:bookmarkEnd w:id="25"/>
    </w:p>
    <w:p w:rsidR="00261386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قاعده کلی آن این است که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؛</w:t>
      </w:r>
      <w:r w:rsidR="00270468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EA32B6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مِنْ شَرِّ ما خَلَق»</w:t>
      </w:r>
      <w:r w:rsidR="00EA32B6" w:rsidRPr="00A97D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EA32B6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یعنی در همه زوایای عالم خلقت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شروری است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 که می‌تواند ما را به زمین بزند و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ما را هلاک کند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.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بنابراین آدم‌های معمولی و عادی کسانی هستند که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شرور ظاهری و سطحی را ببینند به خدا 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استعاذه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می‌بر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د. اما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هرچقدر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انسان در فهم و بصیرت و معرفتش نسبت به این خطره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ایی که او را تهدید می‌کند، دقت کند، این حال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استعاذه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تعمیم پیدا می‌کند.</w:t>
      </w:r>
    </w:p>
    <w:p w:rsidR="00EA32B6" w:rsidRPr="00A97DFD" w:rsidRDefault="00EA32B6" w:rsidP="00270468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«قُلْ أَعُوذُ بِرَبِّ النَّاسِ مَلِ</w:t>
      </w:r>
      <w:r w:rsidR="00270468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النَّاسِ إِلهِ النَّاسِ مِنْ شَرِّ الْوَسْواسِ الْخَنَّاسِ الَّذِ</w:t>
      </w:r>
      <w:r w:rsidR="00270468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70468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وَسْوِسُ فِ</w:t>
      </w:r>
      <w:r w:rsidR="00270468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صُدُورِ النَّاسِ مِنَ الْجِنَّةِ وَ النَّاس»</w:t>
      </w:r>
      <w:r w:rsidRPr="00A97D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261386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پس ما 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از عوامل مختلفی 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به خدا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پناه ببریم، شرور طبیعی آدم را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به سمت گناه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 می‌برد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، از آن مهم‌تر آن شروری است که در نفس خود ماست و شروری است که از ناحیه شیطان متوجه ما می‌شود. همه این‌ها در جمله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32B6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«قُلْ أَعُوذُ بِرَبِّ الْفَلَقِ مِنْ شَرِّ ما خَلَق</w:t>
      </w:r>
      <w:r w:rsidR="00270468" w:rsidRPr="00A97DFD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EA32B6" w:rsidRPr="00A97D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Pr="00A97DFD">
        <w:rPr>
          <w:rFonts w:ascii="IRBadr" w:hAnsi="IRBadr" w:cs="IRBadr"/>
          <w:sz w:val="28"/>
          <w:szCs w:val="28"/>
          <w:rtl/>
          <w:lang w:bidi="fa-IR"/>
        </w:rPr>
        <w:t>جمع شده است.</w:t>
      </w:r>
    </w:p>
    <w:p w:rsidR="00261386" w:rsidRPr="00A97DFD" w:rsidRDefault="00BD609C" w:rsidP="00270468">
      <w:pPr>
        <w:pStyle w:val="Heading2"/>
        <w:rPr>
          <w:rFonts w:ascii="IRBadr" w:hAnsi="IRBadr" w:cs="IRBadr"/>
          <w:rtl/>
        </w:rPr>
      </w:pPr>
      <w:bookmarkStart w:id="26" w:name="_Toc426571063"/>
      <w:r w:rsidRPr="00A97DFD">
        <w:rPr>
          <w:rFonts w:ascii="IRBadr" w:hAnsi="IRBadr" w:cs="IRBadr"/>
          <w:rtl/>
        </w:rPr>
        <w:t>حقیقت استعاذه</w:t>
      </w:r>
      <w:bookmarkEnd w:id="26"/>
    </w:p>
    <w:p w:rsidR="00261386" w:rsidRPr="00A97DFD" w:rsidRDefault="00D141F1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نکته اخلاقی که وجود دارد اولاً این است که 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انسان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دایره این استعاذه را تعمیم بدهد.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استعاذه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 او تنها در مواقع مشکلات خلاصه نشود.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نکته دیگر این است که این استعاذه به گفتن نیست، گفتن خیلی ارزش دارد. اینکه خدا پیغمبر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اکرم (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ص)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را در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چند جا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 xml:space="preserve"> مأمور </w:t>
      </w:r>
      <w:r w:rsidR="00270468" w:rsidRPr="00A97DF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به اینکه بگو، استعاذه ببر، خود </w:t>
      </w:r>
      <w:r w:rsidR="00261386" w:rsidRPr="00A97DFD">
        <w:rPr>
          <w:rFonts w:ascii="IRBadr" w:hAnsi="IRBadr" w:cs="IRBadr"/>
          <w:sz w:val="28"/>
          <w:szCs w:val="28"/>
          <w:rtl/>
          <w:lang w:bidi="fa-IR"/>
        </w:rPr>
        <w:t>آن گفتن یک اثر روانی دارد. ولی ط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بعاً حقیقت این استعاذه یک حقیقت قلبی است.</w:t>
      </w:r>
    </w:p>
    <w:p w:rsidR="00BD609C" w:rsidRPr="00A97DFD" w:rsidRDefault="00D141F1" w:rsidP="00A97DF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>این کار سختی است، این همان توحید حقیقی است که ما را به استعاذه حقیقی می‌کشاند. و بنابراین استعاذه یک حال است، یک مقام است، در کتاب عرفانی اگر ملاحظه کنید در همین منازل السائ</w:t>
      </w:r>
      <w:r w:rsidR="00A97DFD">
        <w:rPr>
          <w:rFonts w:ascii="IRBadr" w:hAnsi="IRBadr" w:cs="IRBadr" w:hint="cs"/>
          <w:sz w:val="28"/>
          <w:szCs w:val="28"/>
          <w:rtl/>
          <w:lang w:bidi="fa-IR"/>
        </w:rPr>
        <w:t>ل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ین دو </w:t>
      </w:r>
      <w:r w:rsidR="00BD609C" w:rsidRPr="00A97DFD">
        <w:rPr>
          <w:rFonts w:ascii="IRBadr" w:hAnsi="IRBadr" w:cs="IRBadr"/>
          <w:sz w:val="28"/>
          <w:szCs w:val="28"/>
          <w:rtl/>
          <w:lang w:bidi="fa-IR"/>
        </w:rPr>
        <w:t>مورد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از مقامات در سلوک</w:t>
      </w:r>
      <w:r w:rsidR="00BD609C" w:rsidRPr="00A97DF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مقام اعتصام و مقام فرار الی الله </w:t>
      </w:r>
      <w:r w:rsidR="00BD609C" w:rsidRPr="00A97DFD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. این‌ها مقام است، یک حال است،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یک‌منزلی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 که باید انسان </w:t>
      </w:r>
      <w:r w:rsidR="00BD609C" w:rsidRPr="00A97DFD">
        <w:rPr>
          <w:rFonts w:ascii="IRBadr" w:hAnsi="IRBadr" w:cs="IRBadr"/>
          <w:sz w:val="28"/>
          <w:szCs w:val="28"/>
          <w:rtl/>
          <w:lang w:bidi="fa-IR"/>
        </w:rPr>
        <w:t xml:space="preserve">آن را طی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کند و </w:t>
      </w:r>
      <w:r w:rsidR="00BD609C" w:rsidRPr="00A97DFD">
        <w:rPr>
          <w:rFonts w:ascii="IRBadr" w:hAnsi="IRBadr" w:cs="IRBadr"/>
          <w:sz w:val="28"/>
          <w:szCs w:val="28"/>
          <w:rtl/>
          <w:lang w:bidi="fa-IR"/>
        </w:rPr>
        <w:t xml:space="preserve">آن را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ملکه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دربیاورد</w:t>
      </w:r>
      <w:r w:rsidR="00BD609C" w:rsidRPr="00A97D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D609C" w:rsidRPr="00A97DFD" w:rsidRDefault="00BD609C" w:rsidP="00270468">
      <w:pPr>
        <w:pStyle w:val="Heading2"/>
        <w:rPr>
          <w:rFonts w:ascii="IRBadr" w:hAnsi="IRBadr" w:cs="IRBadr"/>
          <w:rtl/>
        </w:rPr>
      </w:pPr>
      <w:bookmarkStart w:id="27" w:name="_Toc426571064"/>
      <w:r w:rsidRPr="00A97DFD">
        <w:rPr>
          <w:rFonts w:ascii="IRBadr" w:hAnsi="IRBadr" w:cs="IRBadr"/>
          <w:rtl/>
        </w:rPr>
        <w:t>اسماء خداوند</w:t>
      </w:r>
      <w:bookmarkEnd w:id="27"/>
    </w:p>
    <w:p w:rsidR="00D141F1" w:rsidRPr="00A97DFD" w:rsidRDefault="00BD609C" w:rsidP="002704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در سوره ناس چند اسم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؛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الله که اسم جامع است، رب، رحمن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ملک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و اله.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ربوبیت خدا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>قرآن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کلمه‌الله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حدود هزار بار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است و بعد از </w:t>
      </w:r>
      <w:r w:rsidR="00960806" w:rsidRPr="00A97DFD">
        <w:rPr>
          <w:rFonts w:ascii="IRBadr" w:hAnsi="IRBadr" w:cs="IRBadr"/>
          <w:sz w:val="28"/>
          <w:szCs w:val="28"/>
          <w:rtl/>
          <w:lang w:bidi="fa-IR"/>
        </w:rPr>
        <w:t>کلمه‌الله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کلمه رب است.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اسماء دیگر خدا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در قرآن 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خیلی تعدادش کمتر است. ربوبیت یک محور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و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اسم بسیار کلیدی است. سرش هم نقشی است که این اسم در کمال و رشد انسان و تأثیری که در تکامل روحی 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او دارد. توجه به اینکه دائم از او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فیض می‌گیرد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D141F1" w:rsidRPr="00A97DFD">
        <w:rPr>
          <w:rFonts w:ascii="IRBadr" w:hAnsi="IRBadr" w:cs="IRBadr"/>
          <w:sz w:val="28"/>
          <w:szCs w:val="28"/>
          <w:rtl/>
          <w:lang w:bidi="fa-IR"/>
        </w:rPr>
        <w:t xml:space="preserve"> دائم تحت تدبیر خداست</w:t>
      </w:r>
      <w:r w:rsidRPr="00A97D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A97DFD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A97DFD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1A" w:rsidRDefault="0064371A" w:rsidP="000D5800">
      <w:pPr>
        <w:spacing w:after="0" w:line="240" w:lineRule="auto"/>
      </w:pPr>
      <w:r>
        <w:separator/>
      </w:r>
    </w:p>
  </w:endnote>
  <w:endnote w:type="continuationSeparator" w:id="0">
    <w:p w:rsidR="0064371A" w:rsidRDefault="0064371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1A" w:rsidRDefault="0064371A" w:rsidP="00350B21">
      <w:pPr>
        <w:bidi/>
        <w:spacing w:after="0" w:line="240" w:lineRule="auto"/>
      </w:pPr>
      <w:r>
        <w:separator/>
      </w:r>
    </w:p>
  </w:footnote>
  <w:footnote w:type="continuationSeparator" w:id="0">
    <w:p w:rsidR="0064371A" w:rsidRDefault="0064371A" w:rsidP="000D5800">
      <w:pPr>
        <w:spacing w:after="0" w:line="240" w:lineRule="auto"/>
      </w:pPr>
      <w:r>
        <w:continuationSeparator/>
      </w:r>
    </w:p>
  </w:footnote>
  <w:footnote w:id="1">
    <w:p w:rsidR="00EA32B6" w:rsidRDefault="00EA32B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A32B6">
        <w:rPr>
          <w:rFonts w:ascii="Noor_Titr" w:hAnsi="Noor_Titr" w:cs="B Badr" w:hint="cs"/>
          <w:color w:val="000000" w:themeColor="text1"/>
          <w:rtl/>
        </w:rPr>
        <w:t>تهذ</w:t>
      </w:r>
      <w:r w:rsidR="00270468">
        <w:rPr>
          <w:rFonts w:ascii="Noor_Titr" w:hAnsi="Noor_Titr" w:cs="B Badr" w:hint="cs"/>
          <w:color w:val="000000" w:themeColor="text1"/>
          <w:rtl/>
        </w:rPr>
        <w:t>ی</w:t>
      </w:r>
      <w:r w:rsidRPr="00EA32B6">
        <w:rPr>
          <w:rFonts w:ascii="Noor_Titr" w:hAnsi="Noor_Titr" w:cs="B Badr" w:hint="cs"/>
          <w:color w:val="000000" w:themeColor="text1"/>
          <w:rtl/>
        </w:rPr>
        <w:t>ب الأح</w:t>
      </w:r>
      <w:r w:rsidR="00270468">
        <w:rPr>
          <w:rFonts w:ascii="Noor_Titr" w:hAnsi="Noor_Titr" w:cs="B Badr" w:hint="cs"/>
          <w:color w:val="000000" w:themeColor="text1"/>
          <w:rtl/>
        </w:rPr>
        <w:t>ک</w:t>
      </w:r>
      <w:r w:rsidRPr="00EA32B6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270468">
        <w:rPr>
          <w:rFonts w:ascii="Noor_Titr" w:hAnsi="Noor_Titr" w:cs="B Badr"/>
          <w:color w:val="000000" w:themeColor="text1"/>
          <w:rtl/>
        </w:rPr>
        <w:t>ج 10</w:t>
      </w:r>
      <w:r w:rsidRPr="00EA32B6">
        <w:rPr>
          <w:rFonts w:ascii="Noor_Titr" w:hAnsi="Noor_Titr" w:cs="B Badr" w:hint="cs"/>
          <w:color w:val="000000" w:themeColor="text1"/>
          <w:rtl/>
        </w:rPr>
        <w:t>، ص: 215</w:t>
      </w:r>
    </w:p>
  </w:footnote>
  <w:footnote w:id="2">
    <w:p w:rsidR="00EA32B6" w:rsidRDefault="00EA32B6" w:rsidP="00EA32B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B134D">
        <w:rPr>
          <w:rFonts w:ascii="Noor_Titr" w:hAnsi="Noor_Titr" w:cs="B Badr" w:hint="cs"/>
          <w:color w:val="000000" w:themeColor="text1"/>
          <w:rtl/>
        </w:rPr>
        <w:t>وسائل الش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5B134D">
        <w:rPr>
          <w:rFonts w:ascii="Noor_Titr" w:hAnsi="Noor_Titr" w:cs="B Badr" w:hint="cs"/>
          <w:color w:val="000000" w:themeColor="text1"/>
          <w:rtl/>
        </w:rPr>
        <w:t xml:space="preserve">عة؛ </w:t>
      </w:r>
      <w:r>
        <w:rPr>
          <w:rFonts w:ascii="Noor_Titr" w:hAnsi="Noor_Titr" w:cs="B Badr"/>
          <w:color w:val="000000" w:themeColor="text1"/>
          <w:rtl/>
        </w:rPr>
        <w:t>ج 28</w:t>
      </w:r>
      <w:r w:rsidRPr="005B134D">
        <w:rPr>
          <w:rFonts w:ascii="Noor_Titr" w:hAnsi="Noor_Titr" w:cs="B Badr" w:hint="cs"/>
          <w:color w:val="000000" w:themeColor="text1"/>
          <w:rtl/>
        </w:rPr>
        <w:t>، ص: 215</w:t>
      </w:r>
    </w:p>
  </w:footnote>
  <w:footnote w:id="3">
    <w:p w:rsidR="00EA32B6" w:rsidRPr="00EA32B6" w:rsidRDefault="00EA32B6">
      <w:pPr>
        <w:pStyle w:val="FootnoteText"/>
        <w:rPr>
          <w:rFonts w:cs="B Badr"/>
        </w:rPr>
      </w:pPr>
      <w:r w:rsidRPr="00EA32B6">
        <w:rPr>
          <w:rStyle w:val="FootnoteReference"/>
          <w:rFonts w:cs="B Badr"/>
        </w:rPr>
        <w:footnoteRef/>
      </w:r>
      <w:r w:rsidRPr="00EA32B6">
        <w:rPr>
          <w:rFonts w:cs="B Badr"/>
          <w:rtl/>
        </w:rPr>
        <w:t xml:space="preserve"> </w:t>
      </w:r>
      <w:r w:rsidRPr="00EA32B6">
        <w:rPr>
          <w:rFonts w:cs="B Badr" w:hint="cs"/>
          <w:rtl/>
        </w:rPr>
        <w:t>2/فلق</w:t>
      </w:r>
    </w:p>
  </w:footnote>
  <w:footnote w:id="4">
    <w:p w:rsidR="00EA32B6" w:rsidRPr="00EA32B6" w:rsidRDefault="00EA32B6">
      <w:pPr>
        <w:pStyle w:val="FootnoteText"/>
        <w:rPr>
          <w:rFonts w:cs="B Badr"/>
        </w:rPr>
      </w:pPr>
      <w:r w:rsidRPr="00EA32B6">
        <w:rPr>
          <w:rStyle w:val="FootnoteReference"/>
          <w:rFonts w:cs="B Badr"/>
        </w:rPr>
        <w:footnoteRef/>
      </w:r>
      <w:r w:rsidRPr="00EA32B6">
        <w:rPr>
          <w:rFonts w:cs="B Badr"/>
          <w:rtl/>
        </w:rPr>
        <w:t xml:space="preserve"> </w:t>
      </w:r>
      <w:r w:rsidRPr="00EA32B6">
        <w:rPr>
          <w:rFonts w:cs="B Badr" w:hint="cs"/>
          <w:rtl/>
        </w:rPr>
        <w:t>سورة الناس</w:t>
      </w:r>
    </w:p>
  </w:footnote>
  <w:footnote w:id="5">
    <w:p w:rsidR="00EA32B6" w:rsidRDefault="00EA32B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A32B6">
        <w:rPr>
          <w:rFonts w:cs="B Badr" w:hint="cs"/>
          <w:rtl/>
        </w:rPr>
        <w:t>1،2/فلق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141F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816E28" wp14:editId="636BCF3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5DB92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8" w:name="OLE_LINK1"/>
    <w:bookmarkStart w:id="29" w:name="OLE_LINK2"/>
    <w:r>
      <w:rPr>
        <w:noProof/>
        <w:lang w:bidi="fa-IR"/>
      </w:rPr>
      <w:drawing>
        <wp:inline distT="0" distB="0" distL="0" distR="0" wp14:anchorId="39F882C3" wp14:editId="0DBD454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8"/>
    <w:bookmarkEnd w:id="29"/>
    <w:r w:rsidR="0027046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141F1">
      <w:rPr>
        <w:rFonts w:ascii="IranNastaliq" w:hAnsi="IranNastaliq" w:cs="IranNastaliq" w:hint="cs"/>
        <w:sz w:val="40"/>
        <w:szCs w:val="40"/>
        <w:rtl/>
      </w:rPr>
      <w:t>820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F1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002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2E31"/>
    <w:rsid w:val="002529C5"/>
    <w:rsid w:val="00261386"/>
    <w:rsid w:val="00270294"/>
    <w:rsid w:val="00270468"/>
    <w:rsid w:val="002914BD"/>
    <w:rsid w:val="00297263"/>
    <w:rsid w:val="002C56FD"/>
    <w:rsid w:val="002D49E4"/>
    <w:rsid w:val="002E450B"/>
    <w:rsid w:val="002E73F9"/>
    <w:rsid w:val="002F05B9"/>
    <w:rsid w:val="00340BA3"/>
    <w:rsid w:val="00350B21"/>
    <w:rsid w:val="00351FA3"/>
    <w:rsid w:val="00366400"/>
    <w:rsid w:val="003963D7"/>
    <w:rsid w:val="00396F28"/>
    <w:rsid w:val="003A1A05"/>
    <w:rsid w:val="003A2654"/>
    <w:rsid w:val="003C032F"/>
    <w:rsid w:val="003C06BF"/>
    <w:rsid w:val="003C7899"/>
    <w:rsid w:val="003D2F0A"/>
    <w:rsid w:val="003D563F"/>
    <w:rsid w:val="003E1E58"/>
    <w:rsid w:val="00405199"/>
    <w:rsid w:val="00410699"/>
    <w:rsid w:val="00415360"/>
    <w:rsid w:val="00417EDE"/>
    <w:rsid w:val="0044591E"/>
    <w:rsid w:val="004651D2"/>
    <w:rsid w:val="00465D26"/>
    <w:rsid w:val="004679F8"/>
    <w:rsid w:val="00472AA6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4371A"/>
    <w:rsid w:val="0066229C"/>
    <w:rsid w:val="00662ECE"/>
    <w:rsid w:val="0069696C"/>
    <w:rsid w:val="006A085A"/>
    <w:rsid w:val="006D102F"/>
    <w:rsid w:val="006D3A87"/>
    <w:rsid w:val="006F01B4"/>
    <w:rsid w:val="00724BE4"/>
    <w:rsid w:val="00734D59"/>
    <w:rsid w:val="0073609B"/>
    <w:rsid w:val="00752745"/>
    <w:rsid w:val="0076665E"/>
    <w:rsid w:val="007749BC"/>
    <w:rsid w:val="00774DEA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5307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03E3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342D8"/>
    <w:rsid w:val="009401AC"/>
    <w:rsid w:val="00960806"/>
    <w:rsid w:val="009613AC"/>
    <w:rsid w:val="00973F34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42F8"/>
    <w:rsid w:val="00A725C2"/>
    <w:rsid w:val="00A769EE"/>
    <w:rsid w:val="00A810A5"/>
    <w:rsid w:val="00A813AE"/>
    <w:rsid w:val="00A9172A"/>
    <w:rsid w:val="00A9616A"/>
    <w:rsid w:val="00A96F68"/>
    <w:rsid w:val="00A97DFD"/>
    <w:rsid w:val="00AA2342"/>
    <w:rsid w:val="00AD0304"/>
    <w:rsid w:val="00AD27BE"/>
    <w:rsid w:val="00AF0F1A"/>
    <w:rsid w:val="00B15027"/>
    <w:rsid w:val="00B21CF4"/>
    <w:rsid w:val="00B24300"/>
    <w:rsid w:val="00B370E2"/>
    <w:rsid w:val="00B63F15"/>
    <w:rsid w:val="00BA25B7"/>
    <w:rsid w:val="00BB5F7E"/>
    <w:rsid w:val="00BC26F6"/>
    <w:rsid w:val="00BC4833"/>
    <w:rsid w:val="00BD3122"/>
    <w:rsid w:val="00BD40DA"/>
    <w:rsid w:val="00BD609C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1600"/>
    <w:rsid w:val="00C84FC0"/>
    <w:rsid w:val="00C9244A"/>
    <w:rsid w:val="00CB5DA3"/>
    <w:rsid w:val="00CE31E6"/>
    <w:rsid w:val="00CE3B74"/>
    <w:rsid w:val="00CF42E2"/>
    <w:rsid w:val="00CF7916"/>
    <w:rsid w:val="00D141F1"/>
    <w:rsid w:val="00D158F3"/>
    <w:rsid w:val="00D34C2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214E"/>
    <w:rsid w:val="00E55891"/>
    <w:rsid w:val="00E6283A"/>
    <w:rsid w:val="00E732A3"/>
    <w:rsid w:val="00E83A85"/>
    <w:rsid w:val="00E90FC4"/>
    <w:rsid w:val="00EA01EC"/>
    <w:rsid w:val="00EA15B0"/>
    <w:rsid w:val="00EA32B6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08D6"/>
    <w:rsid w:val="00FC0862"/>
    <w:rsid w:val="00FC5FCA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14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A32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14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A32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0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968C-7756-4C91-87A6-DA06206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117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22</cp:revision>
  <dcterms:created xsi:type="dcterms:W3CDTF">2014-12-22T04:07:00Z</dcterms:created>
  <dcterms:modified xsi:type="dcterms:W3CDTF">2015-07-28T16:41:00Z</dcterms:modified>
</cp:coreProperties>
</file>