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7E" w:rsidRPr="007228DE" w:rsidRDefault="00FF3925" w:rsidP="0074112D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b/>
          <w:bCs/>
          <w:sz w:val="28"/>
          <w:szCs w:val="28"/>
          <w:rtl/>
          <w:lang w:bidi="fa-IR"/>
        </w:rPr>
        <w:t>بسم‌الله</w:t>
      </w:r>
      <w:r w:rsidR="002E377E" w:rsidRPr="007228D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الرحمن الرحیم</w:t>
      </w:r>
    </w:p>
    <w:p w:rsidR="0074112D" w:rsidRPr="007228DE" w:rsidRDefault="0074112D" w:rsidP="0074112D">
      <w:pPr>
        <w:bidi/>
        <w:jc w:val="both"/>
        <w:rPr>
          <w:rFonts w:ascii="IRBadr" w:hAnsi="IRBadr" w:cs="IRBadr"/>
          <w:noProof/>
        </w:rPr>
      </w:pPr>
      <w:r w:rsidRPr="007228DE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 :</w:t>
      </w:r>
      <w:r w:rsidRPr="007228DE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begin"/>
      </w:r>
      <w:r w:rsidRPr="007228DE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7228DE">
        <w:rPr>
          <w:rFonts w:ascii="IRBadr" w:hAnsi="IRBadr" w:cs="IRBadr"/>
          <w:b/>
          <w:bCs/>
          <w:sz w:val="28"/>
          <w:szCs w:val="28"/>
          <w:lang w:bidi="fa-IR"/>
        </w:rPr>
        <w:instrText>TOC</w:instrText>
      </w:r>
      <w:r w:rsidRPr="007228DE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\</w:instrText>
      </w:r>
      <w:r w:rsidRPr="007228DE">
        <w:rPr>
          <w:rFonts w:ascii="IRBadr" w:hAnsi="IRBadr" w:cs="IRBadr"/>
          <w:b/>
          <w:bCs/>
          <w:sz w:val="28"/>
          <w:szCs w:val="28"/>
          <w:lang w:bidi="fa-IR"/>
        </w:rPr>
        <w:instrText>o "</w:instrText>
      </w:r>
      <w:r w:rsidRPr="007228DE">
        <w:rPr>
          <w:rFonts w:ascii="IRBadr" w:hAnsi="IRBadr" w:cs="IRBadr"/>
          <w:b/>
          <w:bCs/>
          <w:sz w:val="28"/>
          <w:szCs w:val="28"/>
          <w:rtl/>
          <w:lang w:bidi="fa-IR"/>
        </w:rPr>
        <w:instrText>1-4</w:instrText>
      </w:r>
      <w:r w:rsidRPr="007228DE">
        <w:rPr>
          <w:rFonts w:ascii="IRBadr" w:hAnsi="IRBadr" w:cs="IRBadr"/>
          <w:b/>
          <w:bCs/>
          <w:sz w:val="28"/>
          <w:szCs w:val="28"/>
          <w:lang w:bidi="fa-IR"/>
        </w:rPr>
        <w:instrText>" \h \z \u</w:instrText>
      </w:r>
      <w:r w:rsidRPr="007228DE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7228DE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separate"/>
      </w:r>
    </w:p>
    <w:p w:rsidR="0074112D" w:rsidRPr="007228DE" w:rsidRDefault="00E17A36" w:rsidP="0074112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79986" w:history="1">
        <w:r w:rsidR="0074112D" w:rsidRPr="007228DE">
          <w:rPr>
            <w:rStyle w:val="Hyperlink"/>
            <w:rFonts w:ascii="IRBadr" w:hAnsi="IRBadr" w:cs="IRBadr"/>
            <w:noProof/>
            <w:rtl/>
          </w:rPr>
          <w:t>سب النبی (ص)</w:t>
        </w:r>
        <w:r w:rsidR="0074112D" w:rsidRPr="007228DE">
          <w:rPr>
            <w:rFonts w:ascii="IRBadr" w:hAnsi="IRBadr" w:cs="IRBadr"/>
            <w:noProof/>
            <w:webHidden/>
          </w:rPr>
          <w:tab/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12D" w:rsidRPr="007228DE">
          <w:rPr>
            <w:rFonts w:ascii="IRBadr" w:hAnsi="IRBadr" w:cs="IRBadr"/>
            <w:noProof/>
            <w:webHidden/>
          </w:rPr>
          <w:instrText xml:space="preserve"> PAGEREF _Toc428279986 \h </w:instrText>
        </w:r>
        <w:r w:rsidR="0074112D" w:rsidRPr="007228DE">
          <w:rPr>
            <w:rStyle w:val="Hyperlink"/>
            <w:rFonts w:ascii="IRBadr" w:hAnsi="IRBadr" w:cs="IRBadr"/>
            <w:noProof/>
            <w:rtl/>
          </w:rPr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12D" w:rsidRPr="007228DE">
          <w:rPr>
            <w:rFonts w:ascii="IRBadr" w:hAnsi="IRBadr" w:cs="IRBadr"/>
            <w:noProof/>
            <w:webHidden/>
          </w:rPr>
          <w:t>2</w:t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12D" w:rsidRPr="007228DE" w:rsidRDefault="00E17A36" w:rsidP="0074112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79987" w:history="1">
        <w:r w:rsidR="0074112D" w:rsidRPr="007228DE">
          <w:rPr>
            <w:rStyle w:val="Hyperlink"/>
            <w:rFonts w:ascii="IRBadr" w:hAnsi="IRBadr" w:cs="IRBadr"/>
            <w:noProof/>
            <w:rtl/>
          </w:rPr>
          <w:t>سقوط قتل با توبه</w:t>
        </w:r>
        <w:r w:rsidR="0074112D" w:rsidRPr="007228DE">
          <w:rPr>
            <w:rFonts w:ascii="IRBadr" w:hAnsi="IRBadr" w:cs="IRBadr"/>
            <w:noProof/>
            <w:webHidden/>
          </w:rPr>
          <w:tab/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12D" w:rsidRPr="007228DE">
          <w:rPr>
            <w:rFonts w:ascii="IRBadr" w:hAnsi="IRBadr" w:cs="IRBadr"/>
            <w:noProof/>
            <w:webHidden/>
          </w:rPr>
          <w:instrText xml:space="preserve"> PAGEREF _Toc428279987 \h </w:instrText>
        </w:r>
        <w:r w:rsidR="0074112D" w:rsidRPr="007228DE">
          <w:rPr>
            <w:rStyle w:val="Hyperlink"/>
            <w:rFonts w:ascii="IRBadr" w:hAnsi="IRBadr" w:cs="IRBadr"/>
            <w:noProof/>
            <w:rtl/>
          </w:rPr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12D" w:rsidRPr="007228DE">
          <w:rPr>
            <w:rFonts w:ascii="IRBadr" w:hAnsi="IRBadr" w:cs="IRBadr"/>
            <w:noProof/>
            <w:webHidden/>
          </w:rPr>
          <w:t>2</w:t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12D" w:rsidRPr="007228DE" w:rsidRDefault="00E17A36" w:rsidP="0074112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79988" w:history="1">
        <w:r w:rsidR="0074112D" w:rsidRPr="007228DE">
          <w:rPr>
            <w:rStyle w:val="Hyperlink"/>
            <w:rFonts w:ascii="IRBadr" w:hAnsi="IRBadr" w:cs="IRBadr"/>
            <w:noProof/>
            <w:rtl/>
          </w:rPr>
          <w:t>پاسخ به روایات فوق</w:t>
        </w:r>
        <w:r w:rsidR="0074112D" w:rsidRPr="007228DE">
          <w:rPr>
            <w:rFonts w:ascii="IRBadr" w:hAnsi="IRBadr" w:cs="IRBadr"/>
            <w:noProof/>
            <w:webHidden/>
          </w:rPr>
          <w:tab/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12D" w:rsidRPr="007228DE">
          <w:rPr>
            <w:rFonts w:ascii="IRBadr" w:hAnsi="IRBadr" w:cs="IRBadr"/>
            <w:noProof/>
            <w:webHidden/>
          </w:rPr>
          <w:instrText xml:space="preserve"> PAGEREF _Toc428279988 \h </w:instrText>
        </w:r>
        <w:r w:rsidR="0074112D" w:rsidRPr="007228DE">
          <w:rPr>
            <w:rStyle w:val="Hyperlink"/>
            <w:rFonts w:ascii="IRBadr" w:hAnsi="IRBadr" w:cs="IRBadr"/>
            <w:noProof/>
            <w:rtl/>
          </w:rPr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12D" w:rsidRPr="007228DE">
          <w:rPr>
            <w:rFonts w:ascii="IRBadr" w:hAnsi="IRBadr" w:cs="IRBadr"/>
            <w:noProof/>
            <w:webHidden/>
          </w:rPr>
          <w:t>2</w:t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12D" w:rsidRPr="007228DE" w:rsidRDefault="00E17A36" w:rsidP="0074112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79989" w:history="1">
        <w:r w:rsidR="0074112D" w:rsidRPr="007228DE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74112D" w:rsidRPr="007228DE">
          <w:rPr>
            <w:rFonts w:ascii="IRBadr" w:hAnsi="IRBadr" w:cs="IRBadr"/>
            <w:noProof/>
            <w:webHidden/>
          </w:rPr>
          <w:tab/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12D" w:rsidRPr="007228DE">
          <w:rPr>
            <w:rFonts w:ascii="IRBadr" w:hAnsi="IRBadr" w:cs="IRBadr"/>
            <w:noProof/>
            <w:webHidden/>
          </w:rPr>
          <w:instrText xml:space="preserve"> PAGEREF _Toc428279989 \h </w:instrText>
        </w:r>
        <w:r w:rsidR="0074112D" w:rsidRPr="007228DE">
          <w:rPr>
            <w:rStyle w:val="Hyperlink"/>
            <w:rFonts w:ascii="IRBadr" w:hAnsi="IRBadr" w:cs="IRBadr"/>
            <w:noProof/>
            <w:rtl/>
          </w:rPr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12D" w:rsidRPr="007228DE">
          <w:rPr>
            <w:rFonts w:ascii="IRBadr" w:hAnsi="IRBadr" w:cs="IRBadr"/>
            <w:noProof/>
            <w:webHidden/>
          </w:rPr>
          <w:t>3</w:t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12D" w:rsidRPr="007228DE" w:rsidRDefault="00E17A36" w:rsidP="0074112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79990" w:history="1">
        <w:r w:rsidR="0074112D" w:rsidRPr="007228DE">
          <w:rPr>
            <w:rStyle w:val="Hyperlink"/>
            <w:rFonts w:ascii="IRBadr" w:hAnsi="IRBadr" w:cs="IRBadr"/>
            <w:noProof/>
            <w:rtl/>
          </w:rPr>
          <w:t>احتمال دوم در روایات فوق</w:t>
        </w:r>
        <w:r w:rsidR="0074112D" w:rsidRPr="007228DE">
          <w:rPr>
            <w:rFonts w:ascii="IRBadr" w:hAnsi="IRBadr" w:cs="IRBadr"/>
            <w:noProof/>
            <w:webHidden/>
          </w:rPr>
          <w:tab/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12D" w:rsidRPr="007228DE">
          <w:rPr>
            <w:rFonts w:ascii="IRBadr" w:hAnsi="IRBadr" w:cs="IRBadr"/>
            <w:noProof/>
            <w:webHidden/>
          </w:rPr>
          <w:instrText xml:space="preserve"> PAGEREF _Toc428279990 \h </w:instrText>
        </w:r>
        <w:r w:rsidR="0074112D" w:rsidRPr="007228DE">
          <w:rPr>
            <w:rStyle w:val="Hyperlink"/>
            <w:rFonts w:ascii="IRBadr" w:hAnsi="IRBadr" w:cs="IRBadr"/>
            <w:noProof/>
            <w:rtl/>
          </w:rPr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12D" w:rsidRPr="007228DE">
          <w:rPr>
            <w:rFonts w:ascii="IRBadr" w:hAnsi="IRBadr" w:cs="IRBadr"/>
            <w:noProof/>
            <w:webHidden/>
          </w:rPr>
          <w:t>3</w:t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12D" w:rsidRPr="007228DE" w:rsidRDefault="00E17A36" w:rsidP="0074112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79991" w:history="1">
        <w:r w:rsidR="0074112D" w:rsidRPr="007228DE">
          <w:rPr>
            <w:rStyle w:val="Hyperlink"/>
            <w:rFonts w:ascii="IRBadr" w:hAnsi="IRBadr" w:cs="IRBadr"/>
            <w:noProof/>
            <w:rtl/>
          </w:rPr>
          <w:t>مناقشه در استدلال فوق</w:t>
        </w:r>
        <w:r w:rsidR="0074112D" w:rsidRPr="007228DE">
          <w:rPr>
            <w:rFonts w:ascii="IRBadr" w:hAnsi="IRBadr" w:cs="IRBadr"/>
            <w:noProof/>
            <w:webHidden/>
          </w:rPr>
          <w:tab/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12D" w:rsidRPr="007228DE">
          <w:rPr>
            <w:rFonts w:ascii="IRBadr" w:hAnsi="IRBadr" w:cs="IRBadr"/>
            <w:noProof/>
            <w:webHidden/>
          </w:rPr>
          <w:instrText xml:space="preserve"> PAGEREF _Toc428279991 \h </w:instrText>
        </w:r>
        <w:r w:rsidR="0074112D" w:rsidRPr="007228DE">
          <w:rPr>
            <w:rStyle w:val="Hyperlink"/>
            <w:rFonts w:ascii="IRBadr" w:hAnsi="IRBadr" w:cs="IRBadr"/>
            <w:noProof/>
            <w:rtl/>
          </w:rPr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12D" w:rsidRPr="007228DE">
          <w:rPr>
            <w:rFonts w:ascii="IRBadr" w:hAnsi="IRBadr" w:cs="IRBadr"/>
            <w:noProof/>
            <w:webHidden/>
          </w:rPr>
          <w:t>3</w:t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12D" w:rsidRPr="007228DE" w:rsidRDefault="00E17A36" w:rsidP="0074112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79992" w:history="1">
        <w:r w:rsidR="0074112D" w:rsidRPr="007228DE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74112D" w:rsidRPr="007228DE">
          <w:rPr>
            <w:rFonts w:ascii="IRBadr" w:hAnsi="IRBadr" w:cs="IRBadr"/>
            <w:noProof/>
            <w:webHidden/>
          </w:rPr>
          <w:tab/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12D" w:rsidRPr="007228DE">
          <w:rPr>
            <w:rFonts w:ascii="IRBadr" w:hAnsi="IRBadr" w:cs="IRBadr"/>
            <w:noProof/>
            <w:webHidden/>
          </w:rPr>
          <w:instrText xml:space="preserve"> PAGEREF _Toc428279992 \h </w:instrText>
        </w:r>
        <w:r w:rsidR="0074112D" w:rsidRPr="007228DE">
          <w:rPr>
            <w:rStyle w:val="Hyperlink"/>
            <w:rFonts w:ascii="IRBadr" w:hAnsi="IRBadr" w:cs="IRBadr"/>
            <w:noProof/>
            <w:rtl/>
          </w:rPr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12D" w:rsidRPr="007228DE">
          <w:rPr>
            <w:rFonts w:ascii="IRBadr" w:hAnsi="IRBadr" w:cs="IRBadr"/>
            <w:noProof/>
            <w:webHidden/>
          </w:rPr>
          <w:t>4</w:t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12D" w:rsidRPr="007228DE" w:rsidRDefault="00E17A36" w:rsidP="0074112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79993" w:history="1">
        <w:r w:rsidR="0074112D" w:rsidRPr="007228DE">
          <w:rPr>
            <w:rStyle w:val="Hyperlink"/>
            <w:rFonts w:ascii="IRBadr" w:hAnsi="IRBadr" w:cs="IRBadr"/>
            <w:noProof/>
            <w:rtl/>
          </w:rPr>
          <w:t>مستندات توبه</w:t>
        </w:r>
        <w:r w:rsidR="0074112D" w:rsidRPr="007228DE">
          <w:rPr>
            <w:rFonts w:ascii="IRBadr" w:hAnsi="IRBadr" w:cs="IRBadr"/>
            <w:noProof/>
            <w:webHidden/>
          </w:rPr>
          <w:tab/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12D" w:rsidRPr="007228DE">
          <w:rPr>
            <w:rFonts w:ascii="IRBadr" w:hAnsi="IRBadr" w:cs="IRBadr"/>
            <w:noProof/>
            <w:webHidden/>
          </w:rPr>
          <w:instrText xml:space="preserve"> PAGEREF _Toc428279993 \h </w:instrText>
        </w:r>
        <w:r w:rsidR="0074112D" w:rsidRPr="007228DE">
          <w:rPr>
            <w:rStyle w:val="Hyperlink"/>
            <w:rFonts w:ascii="IRBadr" w:hAnsi="IRBadr" w:cs="IRBadr"/>
            <w:noProof/>
            <w:rtl/>
          </w:rPr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12D" w:rsidRPr="007228DE">
          <w:rPr>
            <w:rFonts w:ascii="IRBadr" w:hAnsi="IRBadr" w:cs="IRBadr"/>
            <w:noProof/>
            <w:webHidden/>
          </w:rPr>
          <w:t>4</w:t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12D" w:rsidRPr="007228DE" w:rsidRDefault="00E17A36" w:rsidP="0074112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79994" w:history="1">
        <w:r w:rsidR="0074112D" w:rsidRPr="007228DE">
          <w:rPr>
            <w:rStyle w:val="Hyperlink"/>
            <w:rFonts w:ascii="IRBadr" w:hAnsi="IRBadr" w:cs="IRBadr"/>
            <w:noProof/>
            <w:rtl/>
          </w:rPr>
          <w:t>روایت اول</w:t>
        </w:r>
        <w:r w:rsidR="0074112D" w:rsidRPr="007228DE">
          <w:rPr>
            <w:rFonts w:ascii="IRBadr" w:hAnsi="IRBadr" w:cs="IRBadr"/>
            <w:noProof/>
            <w:webHidden/>
          </w:rPr>
          <w:tab/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12D" w:rsidRPr="007228DE">
          <w:rPr>
            <w:rFonts w:ascii="IRBadr" w:hAnsi="IRBadr" w:cs="IRBadr"/>
            <w:noProof/>
            <w:webHidden/>
          </w:rPr>
          <w:instrText xml:space="preserve"> PAGEREF _Toc428279994 \h </w:instrText>
        </w:r>
        <w:r w:rsidR="0074112D" w:rsidRPr="007228DE">
          <w:rPr>
            <w:rStyle w:val="Hyperlink"/>
            <w:rFonts w:ascii="IRBadr" w:hAnsi="IRBadr" w:cs="IRBadr"/>
            <w:noProof/>
            <w:rtl/>
          </w:rPr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12D" w:rsidRPr="007228DE">
          <w:rPr>
            <w:rFonts w:ascii="IRBadr" w:hAnsi="IRBadr" w:cs="IRBadr"/>
            <w:noProof/>
            <w:webHidden/>
          </w:rPr>
          <w:t>4</w:t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12D" w:rsidRPr="007228DE" w:rsidRDefault="00E17A36" w:rsidP="0074112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79995" w:history="1">
        <w:r w:rsidR="0074112D" w:rsidRPr="007228DE">
          <w:rPr>
            <w:rStyle w:val="Hyperlink"/>
            <w:rFonts w:ascii="IRBadr" w:hAnsi="IRBadr" w:cs="IRBadr"/>
            <w:noProof/>
            <w:rtl/>
          </w:rPr>
          <w:t>روایت دوم</w:t>
        </w:r>
        <w:r w:rsidR="0074112D" w:rsidRPr="007228DE">
          <w:rPr>
            <w:rFonts w:ascii="IRBadr" w:hAnsi="IRBadr" w:cs="IRBadr"/>
            <w:noProof/>
            <w:webHidden/>
          </w:rPr>
          <w:tab/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12D" w:rsidRPr="007228DE">
          <w:rPr>
            <w:rFonts w:ascii="IRBadr" w:hAnsi="IRBadr" w:cs="IRBadr"/>
            <w:noProof/>
            <w:webHidden/>
          </w:rPr>
          <w:instrText xml:space="preserve"> PAGEREF _Toc428279995 \h </w:instrText>
        </w:r>
        <w:r w:rsidR="0074112D" w:rsidRPr="007228DE">
          <w:rPr>
            <w:rStyle w:val="Hyperlink"/>
            <w:rFonts w:ascii="IRBadr" w:hAnsi="IRBadr" w:cs="IRBadr"/>
            <w:noProof/>
            <w:rtl/>
          </w:rPr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12D" w:rsidRPr="007228DE">
          <w:rPr>
            <w:rFonts w:ascii="IRBadr" w:hAnsi="IRBadr" w:cs="IRBadr"/>
            <w:noProof/>
            <w:webHidden/>
          </w:rPr>
          <w:t>4</w:t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12D" w:rsidRPr="007228DE" w:rsidRDefault="00E17A36" w:rsidP="0074112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79996" w:history="1">
        <w:r w:rsidR="0074112D" w:rsidRPr="007228DE">
          <w:rPr>
            <w:rStyle w:val="Hyperlink"/>
            <w:rFonts w:ascii="IRBadr" w:hAnsi="IRBadr" w:cs="IRBadr"/>
            <w:noProof/>
            <w:rtl/>
          </w:rPr>
          <w:t>مناقشه در استدلال فوق</w:t>
        </w:r>
        <w:r w:rsidR="0074112D" w:rsidRPr="007228DE">
          <w:rPr>
            <w:rFonts w:ascii="IRBadr" w:hAnsi="IRBadr" w:cs="IRBadr"/>
            <w:noProof/>
            <w:webHidden/>
          </w:rPr>
          <w:tab/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12D" w:rsidRPr="007228DE">
          <w:rPr>
            <w:rFonts w:ascii="IRBadr" w:hAnsi="IRBadr" w:cs="IRBadr"/>
            <w:noProof/>
            <w:webHidden/>
          </w:rPr>
          <w:instrText xml:space="preserve"> PAGEREF _Toc428279996 \h </w:instrText>
        </w:r>
        <w:r w:rsidR="0074112D" w:rsidRPr="007228DE">
          <w:rPr>
            <w:rStyle w:val="Hyperlink"/>
            <w:rFonts w:ascii="IRBadr" w:hAnsi="IRBadr" w:cs="IRBadr"/>
            <w:noProof/>
            <w:rtl/>
          </w:rPr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12D" w:rsidRPr="007228DE">
          <w:rPr>
            <w:rFonts w:ascii="IRBadr" w:hAnsi="IRBadr" w:cs="IRBadr"/>
            <w:noProof/>
            <w:webHidden/>
          </w:rPr>
          <w:t>5</w:t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12D" w:rsidRPr="007228DE" w:rsidRDefault="00E17A36" w:rsidP="0074112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79997" w:history="1">
        <w:r w:rsidR="0074112D" w:rsidRPr="007228DE">
          <w:rPr>
            <w:rStyle w:val="Hyperlink"/>
            <w:rFonts w:ascii="IRBadr" w:hAnsi="IRBadr" w:cs="IRBadr"/>
            <w:noProof/>
            <w:rtl/>
          </w:rPr>
          <w:t>وجه سوم مسقطیت توبه</w:t>
        </w:r>
        <w:r w:rsidR="0074112D" w:rsidRPr="007228DE">
          <w:rPr>
            <w:rFonts w:ascii="IRBadr" w:hAnsi="IRBadr" w:cs="IRBadr"/>
            <w:noProof/>
            <w:webHidden/>
          </w:rPr>
          <w:tab/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12D" w:rsidRPr="007228DE">
          <w:rPr>
            <w:rFonts w:ascii="IRBadr" w:hAnsi="IRBadr" w:cs="IRBadr"/>
            <w:noProof/>
            <w:webHidden/>
          </w:rPr>
          <w:instrText xml:space="preserve"> PAGEREF _Toc428279997 \h </w:instrText>
        </w:r>
        <w:r w:rsidR="0074112D" w:rsidRPr="007228DE">
          <w:rPr>
            <w:rStyle w:val="Hyperlink"/>
            <w:rFonts w:ascii="IRBadr" w:hAnsi="IRBadr" w:cs="IRBadr"/>
            <w:noProof/>
            <w:rtl/>
          </w:rPr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12D" w:rsidRPr="007228DE">
          <w:rPr>
            <w:rFonts w:ascii="IRBadr" w:hAnsi="IRBadr" w:cs="IRBadr"/>
            <w:noProof/>
            <w:webHidden/>
          </w:rPr>
          <w:t>6</w:t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12D" w:rsidRPr="007228DE" w:rsidRDefault="00E17A36" w:rsidP="0074112D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79998" w:history="1">
        <w:r w:rsidR="0074112D" w:rsidRPr="007228DE">
          <w:rPr>
            <w:rStyle w:val="Hyperlink"/>
            <w:rFonts w:ascii="IRBadr" w:hAnsi="IRBadr" w:cs="IRBadr"/>
            <w:noProof/>
            <w:rtl/>
          </w:rPr>
          <w:t>طرق اثبات سب</w:t>
        </w:r>
        <w:r w:rsidR="0074112D" w:rsidRPr="007228DE">
          <w:rPr>
            <w:rFonts w:ascii="IRBadr" w:hAnsi="IRBadr" w:cs="IRBadr"/>
            <w:noProof/>
            <w:webHidden/>
          </w:rPr>
          <w:tab/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12D" w:rsidRPr="007228DE">
          <w:rPr>
            <w:rFonts w:ascii="IRBadr" w:hAnsi="IRBadr" w:cs="IRBadr"/>
            <w:noProof/>
            <w:webHidden/>
          </w:rPr>
          <w:instrText xml:space="preserve"> PAGEREF _Toc428279998 \h </w:instrText>
        </w:r>
        <w:r w:rsidR="0074112D" w:rsidRPr="007228DE">
          <w:rPr>
            <w:rStyle w:val="Hyperlink"/>
            <w:rFonts w:ascii="IRBadr" w:hAnsi="IRBadr" w:cs="IRBadr"/>
            <w:noProof/>
            <w:rtl/>
          </w:rPr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12D" w:rsidRPr="007228DE">
          <w:rPr>
            <w:rFonts w:ascii="IRBadr" w:hAnsi="IRBadr" w:cs="IRBadr"/>
            <w:noProof/>
            <w:webHidden/>
          </w:rPr>
          <w:t>6</w:t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12D" w:rsidRPr="007228DE" w:rsidRDefault="00E17A36" w:rsidP="0074112D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79999" w:history="1">
        <w:r w:rsidR="0074112D" w:rsidRPr="007228DE">
          <w:rPr>
            <w:rStyle w:val="Hyperlink"/>
            <w:rFonts w:ascii="IRBadr" w:hAnsi="IRBadr" w:cs="IRBadr"/>
            <w:noProof/>
            <w:rtl/>
          </w:rPr>
          <w:t>نوع حق در سب النبی (ص)</w:t>
        </w:r>
        <w:r w:rsidR="0074112D" w:rsidRPr="007228DE">
          <w:rPr>
            <w:rFonts w:ascii="IRBadr" w:hAnsi="IRBadr" w:cs="IRBadr"/>
            <w:noProof/>
            <w:webHidden/>
          </w:rPr>
          <w:tab/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12D" w:rsidRPr="007228DE">
          <w:rPr>
            <w:rFonts w:ascii="IRBadr" w:hAnsi="IRBadr" w:cs="IRBadr"/>
            <w:noProof/>
            <w:webHidden/>
          </w:rPr>
          <w:instrText xml:space="preserve"> PAGEREF _Toc428279999 \h </w:instrText>
        </w:r>
        <w:r w:rsidR="0074112D" w:rsidRPr="007228DE">
          <w:rPr>
            <w:rStyle w:val="Hyperlink"/>
            <w:rFonts w:ascii="IRBadr" w:hAnsi="IRBadr" w:cs="IRBadr"/>
            <w:noProof/>
            <w:rtl/>
          </w:rPr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12D" w:rsidRPr="007228DE">
          <w:rPr>
            <w:rFonts w:ascii="IRBadr" w:hAnsi="IRBadr" w:cs="IRBadr"/>
            <w:noProof/>
            <w:webHidden/>
          </w:rPr>
          <w:t>6</w:t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12D" w:rsidRPr="007228DE" w:rsidRDefault="00E17A36" w:rsidP="0074112D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0000" w:history="1">
        <w:r w:rsidR="0074112D" w:rsidRPr="007228DE">
          <w:rPr>
            <w:rStyle w:val="Hyperlink"/>
            <w:rFonts w:ascii="IRBadr" w:hAnsi="IRBadr" w:cs="IRBadr"/>
            <w:noProof/>
            <w:rtl/>
          </w:rPr>
          <w:t>ادعای نبوت</w:t>
        </w:r>
        <w:r w:rsidR="0074112D" w:rsidRPr="007228DE">
          <w:rPr>
            <w:rFonts w:ascii="IRBadr" w:hAnsi="IRBadr" w:cs="IRBadr"/>
            <w:noProof/>
            <w:webHidden/>
          </w:rPr>
          <w:tab/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12D" w:rsidRPr="007228DE">
          <w:rPr>
            <w:rFonts w:ascii="IRBadr" w:hAnsi="IRBadr" w:cs="IRBadr"/>
            <w:noProof/>
            <w:webHidden/>
          </w:rPr>
          <w:instrText xml:space="preserve"> PAGEREF _Toc428280000 \h </w:instrText>
        </w:r>
        <w:r w:rsidR="0074112D" w:rsidRPr="007228DE">
          <w:rPr>
            <w:rStyle w:val="Hyperlink"/>
            <w:rFonts w:ascii="IRBadr" w:hAnsi="IRBadr" w:cs="IRBadr"/>
            <w:noProof/>
            <w:rtl/>
          </w:rPr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12D" w:rsidRPr="007228DE">
          <w:rPr>
            <w:rFonts w:ascii="IRBadr" w:hAnsi="IRBadr" w:cs="IRBadr"/>
            <w:noProof/>
            <w:webHidden/>
          </w:rPr>
          <w:t>6</w:t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12D" w:rsidRPr="007228DE" w:rsidRDefault="00E17A36" w:rsidP="0074112D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0001" w:history="1">
        <w:r w:rsidR="0074112D" w:rsidRPr="007228DE">
          <w:rPr>
            <w:rStyle w:val="Hyperlink"/>
            <w:rFonts w:ascii="IRBadr" w:hAnsi="IRBadr" w:cs="IRBadr"/>
            <w:noProof/>
            <w:rtl/>
          </w:rPr>
          <w:t>مستندات بحث</w:t>
        </w:r>
        <w:r w:rsidR="0074112D" w:rsidRPr="007228DE">
          <w:rPr>
            <w:rFonts w:ascii="IRBadr" w:hAnsi="IRBadr" w:cs="IRBadr"/>
            <w:noProof/>
            <w:webHidden/>
          </w:rPr>
          <w:tab/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12D" w:rsidRPr="007228DE">
          <w:rPr>
            <w:rFonts w:ascii="IRBadr" w:hAnsi="IRBadr" w:cs="IRBadr"/>
            <w:noProof/>
            <w:webHidden/>
          </w:rPr>
          <w:instrText xml:space="preserve"> PAGEREF _Toc428280001 \h </w:instrText>
        </w:r>
        <w:r w:rsidR="0074112D" w:rsidRPr="007228DE">
          <w:rPr>
            <w:rStyle w:val="Hyperlink"/>
            <w:rFonts w:ascii="IRBadr" w:hAnsi="IRBadr" w:cs="IRBadr"/>
            <w:noProof/>
            <w:rtl/>
          </w:rPr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12D" w:rsidRPr="007228DE">
          <w:rPr>
            <w:rFonts w:ascii="IRBadr" w:hAnsi="IRBadr" w:cs="IRBadr"/>
            <w:noProof/>
            <w:webHidden/>
          </w:rPr>
          <w:t>7</w:t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12D" w:rsidRPr="007228DE" w:rsidRDefault="00E17A36" w:rsidP="0074112D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0002" w:history="1">
        <w:r w:rsidR="0074112D" w:rsidRPr="007228DE">
          <w:rPr>
            <w:rStyle w:val="Hyperlink"/>
            <w:rFonts w:ascii="IRBadr" w:hAnsi="IRBadr" w:cs="IRBadr"/>
            <w:noProof/>
            <w:rtl/>
          </w:rPr>
          <w:t>روایت اول</w:t>
        </w:r>
        <w:r w:rsidR="0074112D" w:rsidRPr="007228DE">
          <w:rPr>
            <w:rFonts w:ascii="IRBadr" w:hAnsi="IRBadr" w:cs="IRBadr"/>
            <w:noProof/>
            <w:webHidden/>
          </w:rPr>
          <w:tab/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12D" w:rsidRPr="007228DE">
          <w:rPr>
            <w:rFonts w:ascii="IRBadr" w:hAnsi="IRBadr" w:cs="IRBadr"/>
            <w:noProof/>
            <w:webHidden/>
          </w:rPr>
          <w:instrText xml:space="preserve"> PAGEREF _Toc428280002 \h </w:instrText>
        </w:r>
        <w:r w:rsidR="0074112D" w:rsidRPr="007228DE">
          <w:rPr>
            <w:rStyle w:val="Hyperlink"/>
            <w:rFonts w:ascii="IRBadr" w:hAnsi="IRBadr" w:cs="IRBadr"/>
            <w:noProof/>
            <w:rtl/>
          </w:rPr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12D" w:rsidRPr="007228DE">
          <w:rPr>
            <w:rFonts w:ascii="IRBadr" w:hAnsi="IRBadr" w:cs="IRBadr"/>
            <w:noProof/>
            <w:webHidden/>
          </w:rPr>
          <w:t>7</w:t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12D" w:rsidRPr="007228DE" w:rsidRDefault="00E17A36" w:rsidP="0074112D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0003" w:history="1">
        <w:r w:rsidR="0074112D" w:rsidRPr="007228DE">
          <w:rPr>
            <w:rStyle w:val="Hyperlink"/>
            <w:rFonts w:ascii="IRBadr" w:hAnsi="IRBadr" w:cs="IRBadr"/>
            <w:noProof/>
            <w:rtl/>
          </w:rPr>
          <w:t>روایت دوم</w:t>
        </w:r>
        <w:r w:rsidR="0074112D" w:rsidRPr="007228DE">
          <w:rPr>
            <w:rFonts w:ascii="IRBadr" w:hAnsi="IRBadr" w:cs="IRBadr"/>
            <w:noProof/>
            <w:webHidden/>
          </w:rPr>
          <w:tab/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12D" w:rsidRPr="007228DE">
          <w:rPr>
            <w:rFonts w:ascii="IRBadr" w:hAnsi="IRBadr" w:cs="IRBadr"/>
            <w:noProof/>
            <w:webHidden/>
          </w:rPr>
          <w:instrText xml:space="preserve"> PAGEREF _Toc428280003 \h </w:instrText>
        </w:r>
        <w:r w:rsidR="0074112D" w:rsidRPr="007228DE">
          <w:rPr>
            <w:rStyle w:val="Hyperlink"/>
            <w:rFonts w:ascii="IRBadr" w:hAnsi="IRBadr" w:cs="IRBadr"/>
            <w:noProof/>
            <w:rtl/>
          </w:rPr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12D" w:rsidRPr="007228DE">
          <w:rPr>
            <w:rFonts w:ascii="IRBadr" w:hAnsi="IRBadr" w:cs="IRBadr"/>
            <w:noProof/>
            <w:webHidden/>
          </w:rPr>
          <w:t>7</w:t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12D" w:rsidRPr="007228DE" w:rsidRDefault="00E17A36" w:rsidP="0074112D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0004" w:history="1">
        <w:r w:rsidR="0074112D" w:rsidRPr="007228DE">
          <w:rPr>
            <w:rStyle w:val="Hyperlink"/>
            <w:rFonts w:ascii="IRBadr" w:hAnsi="IRBadr" w:cs="IRBadr"/>
            <w:noProof/>
            <w:rtl/>
          </w:rPr>
          <w:t>روایت سوم</w:t>
        </w:r>
        <w:r w:rsidR="0074112D" w:rsidRPr="007228DE">
          <w:rPr>
            <w:rFonts w:ascii="IRBadr" w:hAnsi="IRBadr" w:cs="IRBadr"/>
            <w:noProof/>
            <w:webHidden/>
          </w:rPr>
          <w:tab/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12D" w:rsidRPr="007228DE">
          <w:rPr>
            <w:rFonts w:ascii="IRBadr" w:hAnsi="IRBadr" w:cs="IRBadr"/>
            <w:noProof/>
            <w:webHidden/>
          </w:rPr>
          <w:instrText xml:space="preserve"> PAGEREF _Toc428280004 \h </w:instrText>
        </w:r>
        <w:r w:rsidR="0074112D" w:rsidRPr="007228DE">
          <w:rPr>
            <w:rStyle w:val="Hyperlink"/>
            <w:rFonts w:ascii="IRBadr" w:hAnsi="IRBadr" w:cs="IRBadr"/>
            <w:noProof/>
            <w:rtl/>
          </w:rPr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12D" w:rsidRPr="007228DE">
          <w:rPr>
            <w:rFonts w:ascii="IRBadr" w:hAnsi="IRBadr" w:cs="IRBadr"/>
            <w:noProof/>
            <w:webHidden/>
          </w:rPr>
          <w:t>8</w:t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12D" w:rsidRPr="007228DE" w:rsidRDefault="00E17A36" w:rsidP="0074112D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0005" w:history="1">
        <w:r w:rsidR="0074112D" w:rsidRPr="007228DE">
          <w:rPr>
            <w:rStyle w:val="Hyperlink"/>
            <w:rFonts w:ascii="IRBadr" w:hAnsi="IRBadr" w:cs="IRBadr"/>
            <w:noProof/>
            <w:rtl/>
          </w:rPr>
          <w:t>احتمالات در روایت</w:t>
        </w:r>
        <w:r w:rsidR="0074112D" w:rsidRPr="007228DE">
          <w:rPr>
            <w:rFonts w:ascii="IRBadr" w:hAnsi="IRBadr" w:cs="IRBadr"/>
            <w:noProof/>
            <w:webHidden/>
          </w:rPr>
          <w:tab/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4112D" w:rsidRPr="007228DE">
          <w:rPr>
            <w:rFonts w:ascii="IRBadr" w:hAnsi="IRBadr" w:cs="IRBadr"/>
            <w:noProof/>
            <w:webHidden/>
          </w:rPr>
          <w:instrText xml:space="preserve"> PAGEREF _Toc428280005 \h </w:instrText>
        </w:r>
        <w:r w:rsidR="0074112D" w:rsidRPr="007228DE">
          <w:rPr>
            <w:rStyle w:val="Hyperlink"/>
            <w:rFonts w:ascii="IRBadr" w:hAnsi="IRBadr" w:cs="IRBadr"/>
            <w:noProof/>
            <w:rtl/>
          </w:rPr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4112D" w:rsidRPr="007228DE">
          <w:rPr>
            <w:rFonts w:ascii="IRBadr" w:hAnsi="IRBadr" w:cs="IRBadr"/>
            <w:noProof/>
            <w:webHidden/>
          </w:rPr>
          <w:t>8</w:t>
        </w:r>
        <w:r w:rsidR="0074112D" w:rsidRPr="007228D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4112D" w:rsidRPr="007228DE" w:rsidRDefault="0074112D" w:rsidP="0074112D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end"/>
      </w:r>
    </w:p>
    <w:p w:rsidR="002E377E" w:rsidRPr="007228DE" w:rsidRDefault="002E377E" w:rsidP="0074112D">
      <w:pPr>
        <w:pStyle w:val="Heading1"/>
        <w:rPr>
          <w:rFonts w:ascii="IRBadr" w:hAnsi="IRBadr" w:cs="IRBadr"/>
          <w:rtl/>
        </w:rPr>
      </w:pPr>
      <w:bookmarkStart w:id="0" w:name="_Toc428279986"/>
      <w:r w:rsidRPr="007228DE">
        <w:rPr>
          <w:rFonts w:ascii="IRBadr" w:hAnsi="IRBadr" w:cs="IRBadr"/>
          <w:rtl/>
        </w:rPr>
        <w:lastRenderedPageBreak/>
        <w:t>سب النبی (ص)</w:t>
      </w:r>
      <w:bookmarkEnd w:id="0"/>
    </w:p>
    <w:p w:rsidR="002E377E" w:rsidRPr="007228DE" w:rsidRDefault="002E377E" w:rsidP="0074112D">
      <w:pPr>
        <w:pStyle w:val="Heading1"/>
        <w:rPr>
          <w:rFonts w:ascii="IRBadr" w:hAnsi="IRBadr" w:cs="IRBadr"/>
          <w:rtl/>
        </w:rPr>
      </w:pPr>
      <w:bookmarkStart w:id="1" w:name="_Toc428279987"/>
      <w:r w:rsidRPr="007228DE">
        <w:rPr>
          <w:rFonts w:ascii="IRBadr" w:hAnsi="IRBadr" w:cs="IRBadr"/>
          <w:rtl/>
        </w:rPr>
        <w:t>سقوط قتل با توبه</w:t>
      </w:r>
      <w:bookmarkEnd w:id="1"/>
    </w:p>
    <w:p w:rsidR="002E377E" w:rsidRPr="007228DE" w:rsidRDefault="002E377E" w:rsidP="0074112D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color w:val="000000"/>
          <w:sz w:val="2"/>
          <w:szCs w:val="2"/>
          <w:rtl/>
          <w:lang w:bidi="fa-IR"/>
        </w:rPr>
      </w:pPr>
      <w:r w:rsidRPr="007228DE">
        <w:rPr>
          <w:rFonts w:ascii="IRBadr" w:eastAsia="Times New Roman" w:hAnsi="IRBadr" w:cs="IRBadr"/>
          <w:sz w:val="28"/>
          <w:szCs w:val="28"/>
          <w:rtl/>
          <w:lang w:bidi="fa-IR"/>
        </w:rPr>
        <w:t>در قبال سقوط قتل با توبه مباحثی مطرح شد، گفته شد که با توبه حد ساقط نخواهد شد،</w:t>
      </w:r>
      <w:r w:rsidR="00784C09" w:rsidRPr="007228DE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در</w:t>
      </w:r>
      <w:r w:rsidRPr="007228DE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اینجا ممکن است کسی به دلیل 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الإسلام 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جب ما قبله»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1"/>
      </w:r>
    </w:p>
    <w:p w:rsidR="002E377E" w:rsidRPr="007228DE" w:rsidRDefault="002E377E" w:rsidP="0074112D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color w:val="000000" w:themeColor="text1"/>
          <w:sz w:val="28"/>
          <w:szCs w:val="28"/>
          <w:rtl/>
          <w:lang w:bidi="fa-IR"/>
        </w:rPr>
      </w:pPr>
      <w:r w:rsidRPr="007228DE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یا روایت 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«عَنْهُ عَنْ أَحْمَدَ بْنِ مُحَمَّدٍ عَنْ عَلِ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النُّعْمَانِ عَنْ مُحَمَّدِ بْنِ سِنَانٍ عَنْ 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وسُفَ بْنِ أَبِ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عْقُوبَ بَ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اعِ الْأَرُزِّ عَنْ جَابِرٍ عَنْ أَبِ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جَعْفَرٍ ع قَالَ سَمِعْتُهُ 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قُولُ التَّائِبُ مِنَ الذَّنْبِ 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مَنْ لَا ذَنْبَ لَهُ»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2"/>
      </w:r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>تکیه کند برای اینکه سقوط حد را در اینجا اثبات نماید.</w:t>
      </w:r>
    </w:p>
    <w:p w:rsidR="002E377E" w:rsidRPr="007228DE" w:rsidRDefault="002E377E" w:rsidP="0074112D">
      <w:pPr>
        <w:pStyle w:val="Heading1"/>
        <w:rPr>
          <w:rFonts w:ascii="IRBadr" w:hAnsi="IRBadr" w:cs="IRBadr"/>
          <w:rtl/>
        </w:rPr>
      </w:pPr>
      <w:bookmarkStart w:id="3" w:name="_Toc428279988"/>
      <w:r w:rsidRPr="007228DE">
        <w:rPr>
          <w:rFonts w:ascii="IRBadr" w:hAnsi="IRBadr" w:cs="IRBadr"/>
          <w:rtl/>
        </w:rPr>
        <w:t>پاسخ به روایات فوق</w:t>
      </w:r>
      <w:bookmarkEnd w:id="3"/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>در قبال روایات فوق باید گفت،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 xml:space="preserve"> بیشتر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ناظر به بعد معصیتی فعل هستند که فرد پس از توبه عقاب نخواهد شد.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روایات بسیاری توبه تحت عنوان جبران معنا شده است مثلاً در مواردی که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حق‌الناسی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بر ذمه فرد است.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طرفی دیگر نیز برخی موارد اسقاط 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همچون نماز </w:t>
      </w:r>
      <w:r w:rsidR="007228DE">
        <w:rPr>
          <w:rFonts w:ascii="IRBadr" w:hAnsi="IRBadr" w:cs="IRBadr"/>
          <w:sz w:val="28"/>
          <w:szCs w:val="28"/>
          <w:rtl/>
          <w:lang w:bidi="fa-IR"/>
        </w:rPr>
        <w:t>قضا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و ...لذا اطلاقی که تصور شده است 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در قبال روایات توبه داشت.</w:t>
      </w:r>
    </w:p>
    <w:p w:rsidR="002E377E" w:rsidRPr="007228DE" w:rsidRDefault="00FF3925" w:rsidP="0074112D">
      <w:pPr>
        <w:pStyle w:val="Heading1"/>
        <w:rPr>
          <w:rFonts w:ascii="IRBadr" w:hAnsi="IRBadr" w:cs="IRBadr"/>
          <w:rtl/>
        </w:rPr>
      </w:pPr>
      <w:bookmarkStart w:id="4" w:name="_Toc428279989"/>
      <w:r w:rsidRPr="007228DE">
        <w:rPr>
          <w:rFonts w:ascii="IRBadr" w:hAnsi="IRBadr" w:cs="IRBadr"/>
          <w:rtl/>
        </w:rPr>
        <w:t>نتیجه‌گیری</w:t>
      </w:r>
      <w:bookmarkEnd w:id="4"/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در جلد هفتم از قواعد فقهی مرحوم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قطب‌الدین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آخرین 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>قاعده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این است که توبه امر واجبی است.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وجوبش عقلی است یا شرعی؟ فوری است یا غیر فوری؟ ارشادی است یا غیر ارشادی، و شرایط توبه چیست؟ ظاهر امر این است که </w:t>
      </w:r>
      <w:r w:rsidR="007228DE">
        <w:rPr>
          <w:rFonts w:ascii="IRBadr" w:hAnsi="IRBadr" w:cs="IRBadr"/>
          <w:sz w:val="28"/>
          <w:szCs w:val="28"/>
          <w:rtl/>
          <w:lang w:bidi="fa-IR"/>
        </w:rPr>
        <w:t>فقها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از قاعده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فوق این را قصد 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>نکرده‌اند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که در توبه هم آثار قبل برداشته 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>بیشتر ناظر به این است که شخص از گناه پاک و از عقاب آزاد می‌شود. همچنان که حدیث رفع نیز ناظر به همین امر است.</w:t>
      </w:r>
    </w:p>
    <w:p w:rsidR="002E377E" w:rsidRPr="007228DE" w:rsidRDefault="002E377E" w:rsidP="0074112D">
      <w:pPr>
        <w:pStyle w:val="Heading1"/>
        <w:rPr>
          <w:rFonts w:ascii="IRBadr" w:hAnsi="IRBadr" w:cs="IRBadr"/>
          <w:rtl/>
        </w:rPr>
      </w:pPr>
      <w:r w:rsidRPr="007228DE">
        <w:rPr>
          <w:rFonts w:ascii="IRBadr" w:hAnsi="IRBadr" w:cs="IRBadr"/>
          <w:rtl/>
        </w:rPr>
        <w:lastRenderedPageBreak/>
        <w:t xml:space="preserve"> </w:t>
      </w:r>
      <w:bookmarkStart w:id="5" w:name="_Toc428279990"/>
      <w:r w:rsidRPr="007228DE">
        <w:rPr>
          <w:rFonts w:ascii="IRBadr" w:hAnsi="IRBadr" w:cs="IRBadr"/>
          <w:rtl/>
        </w:rPr>
        <w:t>احتمال دوم در روایات فوق</w:t>
      </w:r>
      <w:bookmarkEnd w:id="5"/>
    </w:p>
    <w:p w:rsidR="002E377E" w:rsidRPr="007228DE" w:rsidRDefault="00FF3925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>این‌یک</w:t>
      </w:r>
      <w:r w:rsidR="002E377E" w:rsidRPr="007228DE">
        <w:rPr>
          <w:rFonts w:ascii="IRBadr" w:hAnsi="IRBadr" w:cs="IRBadr"/>
          <w:sz w:val="28"/>
          <w:szCs w:val="28"/>
          <w:rtl/>
          <w:lang w:bidi="fa-IR"/>
        </w:rPr>
        <w:t xml:space="preserve"> احتمال است، که فقط روایات توبه ناظر به همین اثر باشد. اما احتمال دومی وجود دارد، و آن 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>این‌که</w:t>
      </w:r>
      <w:r w:rsidR="002E377E" w:rsidRPr="007228DE">
        <w:rPr>
          <w:rFonts w:ascii="IRBadr" w:hAnsi="IRBadr" w:cs="IRBadr"/>
          <w:sz w:val="28"/>
          <w:szCs w:val="28"/>
          <w:rtl/>
          <w:lang w:bidi="fa-IR"/>
        </w:rPr>
        <w:t xml:space="preserve"> بگوییم این روایات یک نوع اطلاقی دارد و آثار دیگر را هم 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>برمی‌دارد</w:t>
      </w:r>
      <w:r w:rsidR="002E377E" w:rsidRPr="007228DE">
        <w:rPr>
          <w:rFonts w:ascii="IRBadr" w:hAnsi="IRBadr" w:cs="IRBadr"/>
          <w:sz w:val="28"/>
          <w:szCs w:val="28"/>
          <w:rtl/>
          <w:lang w:bidi="fa-IR"/>
        </w:rPr>
        <w:t>. منتها ممکن است شبهه بکنیم که مواردی مانند قضا و اعاده مال مردم، اگر با صرف توبه ساقط شوند،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 xml:space="preserve"> خلاف</w:t>
      </w:r>
      <w:r w:rsidR="002E377E" w:rsidRPr="007228DE">
        <w:rPr>
          <w:rFonts w:ascii="IRBadr" w:hAnsi="IRBadr" w:cs="IRBadr"/>
          <w:sz w:val="28"/>
          <w:szCs w:val="28"/>
          <w:rtl/>
          <w:lang w:bidi="fa-IR"/>
        </w:rPr>
        <w:t xml:space="preserve"> ضرورت است. و چون این تخصیصات زیاد است معلوم می‌شود روایت ناظر به این بحث‌ها نیست.</w:t>
      </w:r>
    </w:p>
    <w:p w:rsidR="002E377E" w:rsidRPr="007228DE" w:rsidRDefault="002E377E" w:rsidP="0074112D">
      <w:pPr>
        <w:pStyle w:val="Heading1"/>
        <w:rPr>
          <w:rFonts w:ascii="IRBadr" w:hAnsi="IRBadr" w:cs="IRBadr"/>
          <w:rtl/>
        </w:rPr>
      </w:pPr>
      <w:bookmarkStart w:id="6" w:name="_Toc428279991"/>
      <w:r w:rsidRPr="007228DE">
        <w:rPr>
          <w:rFonts w:ascii="IRBadr" w:hAnsi="IRBadr" w:cs="IRBadr"/>
          <w:rtl/>
        </w:rPr>
        <w:t>مناقشه در استدلال فوق</w:t>
      </w:r>
      <w:bookmarkEnd w:id="6"/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ممکن است در قبال استدلال بالا گفت که در روایات دیگر شرایط توبه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است و موارد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تخصصاً یا تخصیصاً از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خارج هستند، اما آثار دیگری است که از ناحیه اسلام بر عملی مترتب شده است، ممکن است بگوییم این را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برمی‌دارد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>، مثل حدود و تعزیرات.</w:t>
      </w:r>
    </w:p>
    <w:p w:rsidR="002E377E" w:rsidRPr="007228DE" w:rsidRDefault="002E377E" w:rsidP="0074112D">
      <w:pPr>
        <w:pStyle w:val="Heading1"/>
        <w:rPr>
          <w:rFonts w:ascii="IRBadr" w:hAnsi="IRBadr" w:cs="IRBadr"/>
          <w:rtl/>
        </w:rPr>
      </w:pPr>
      <w:bookmarkStart w:id="7" w:name="_Toc428279992"/>
      <w:r w:rsidRPr="007228DE">
        <w:rPr>
          <w:rFonts w:ascii="IRBadr" w:hAnsi="IRBadr" w:cs="IRBadr"/>
          <w:rtl/>
        </w:rPr>
        <w:t>اتخاذ مبنا</w:t>
      </w:r>
      <w:bookmarkEnd w:id="7"/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این احتمالی است اما ظاهر کلمات فقها این است که توبه تنها جنبه عقاب اخروی امر را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برمی‌دارد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>.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 xml:space="preserve"> مرحوم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شیخ در آخر مکاسب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رساله‌ای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تحت عنوان عدالت نگاشته است که راجع به توبه در آنجا بحثی دارند،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همچنان که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آقای بروجردی نیز در جلد هفتم قواعد فقهی،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 xml:space="preserve"> مرحوم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صاحب جواهر این بحث را مطرح 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E377E" w:rsidRPr="007228DE" w:rsidRDefault="002E377E" w:rsidP="0074112D">
      <w:pPr>
        <w:pStyle w:val="Heading2"/>
        <w:rPr>
          <w:rFonts w:ascii="IRBadr" w:hAnsi="IRBadr" w:cs="IRBadr"/>
          <w:rtl/>
        </w:rPr>
      </w:pPr>
      <w:bookmarkStart w:id="8" w:name="_Toc428279993"/>
      <w:r w:rsidRPr="007228DE">
        <w:rPr>
          <w:rFonts w:ascii="IRBadr" w:hAnsi="IRBadr" w:cs="IRBadr"/>
          <w:rtl/>
        </w:rPr>
        <w:t>مستندات توبه</w:t>
      </w:r>
      <w:bookmarkEnd w:id="8"/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وجه دومی که اینجا می‌شود ذکر کرد، این است که به روایاتی که در باب توبه قبل از اجرای حدود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تمسک کنیم. این روایات در همان باب شانزده، از ابواب مقدمات حدود، جلد هیجده،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است. در این باب روایاتی مربوط به توبه قبل از اجرای حد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است. عنوانی که مرحوم حر عاملی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رضوان‌الله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تعالی علیه به این باب داده است، این است که قبل از اینکه کسی دستگیر بشود، اگر توبه کند، حد از او ساقط می‌شود. این روایات در باب سرقت نیز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2E377E" w:rsidRPr="007228DE" w:rsidRDefault="002E377E" w:rsidP="0074112D">
      <w:pPr>
        <w:pStyle w:val="Heading2"/>
        <w:rPr>
          <w:rFonts w:ascii="IRBadr" w:hAnsi="IRBadr" w:cs="IRBadr"/>
          <w:rtl/>
        </w:rPr>
      </w:pPr>
      <w:bookmarkStart w:id="9" w:name="_Toc428279994"/>
      <w:r w:rsidRPr="007228DE">
        <w:rPr>
          <w:rFonts w:ascii="IRBadr" w:hAnsi="IRBadr" w:cs="IRBadr"/>
          <w:rtl/>
        </w:rPr>
        <w:lastRenderedPageBreak/>
        <w:t>روایت اول</w:t>
      </w:r>
      <w:bookmarkEnd w:id="9"/>
    </w:p>
    <w:p w:rsidR="002E377E" w:rsidRPr="007228DE" w:rsidRDefault="002E377E" w:rsidP="0074112D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«عَلِ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بْنُ إِبْرَاهِ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 عَنْ أَبِ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عَنِ ابْنِ مَحْبُوبٍ عَنْ عَبْدِ اللَّهِ بْنِ سِنَانٍ عَنْ أَبِ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قَالَ: السَّارِقُ إِذَا جَاءَ مِنْ قِبَلِ نَفْسِهِ تَائِباً إِلَ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اللَّهِ عَزَّ وَ جَلَّ وَ رَدَّ سَرِقَتَهُ عَلَ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صاحب‌ها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فَلَا قَطْعَ عَلَ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هِ.»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3"/>
      </w:r>
    </w:p>
    <w:p w:rsidR="002E377E" w:rsidRPr="007228DE" w:rsidRDefault="002E377E" w:rsidP="0074112D">
      <w:pPr>
        <w:pStyle w:val="Heading2"/>
        <w:rPr>
          <w:rFonts w:ascii="IRBadr" w:hAnsi="IRBadr" w:cs="IRBadr"/>
          <w:rtl/>
        </w:rPr>
      </w:pPr>
      <w:bookmarkStart w:id="10" w:name="_Toc428279995"/>
      <w:r w:rsidRPr="007228DE">
        <w:rPr>
          <w:rFonts w:ascii="IRBadr" w:hAnsi="IRBadr" w:cs="IRBadr"/>
          <w:rtl/>
        </w:rPr>
        <w:t>روایت دوم</w:t>
      </w:r>
      <w:bookmarkEnd w:id="10"/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>این روایت معتبر نیست؛</w:t>
      </w:r>
    </w:p>
    <w:p w:rsidR="002E377E" w:rsidRPr="007228DE" w:rsidRDefault="002E377E" w:rsidP="0074112D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«أَحْمَدُ بْنُ مُحَمَّدٍ عَنْ عَلِ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حَدِ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دٍ وَ ابْنِ أَبِ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عُمَ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رٍ جَمِ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عاً عَنْ جَمِ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لِ بْنِ دَرَّاجٍ عَنْ رَجُلٍ عَنْ أَحَدِهِمَا ع فِ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رَجُلٍ سَرَقَ أَوْ شَرِبَ الْخَمْرَ أَوْ زَنَ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فَلَمْ 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عْلَمْ ذَلِ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مِنْهُ وَ لَمْ 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ؤْخَذْ حَتَّ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تَابَ وَ صَلَحَ فَقَالَ إِذَا صَلَحَ وَ عُرِفَ مِنْهُ أَمْرٌ جَمِ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لٌ لَمْ 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قَمْ عَلَ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الْحَدُّ قَالَ مُحَمَّدُ بْنُ أَبِ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عُمَ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رٍ قُلْتُ فَإِنْ 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انَ أَمْراً قَرِ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باً لَمْ 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قَمْ عَلَ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هِ الْحَدُّ قَالَ لَوْ 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انَ خَمْسَةَ أَشْهُرٍ أَوْ أَقَلَّ وَ قَدْ ظَهَرَ مِنْهُ أَمْرٌ جَمِ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لٌ لَمْ تُقَمْ عَلَ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الْحُدُودُ.»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4"/>
      </w:r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>اگر قبل از دستگیری توبه کرد، حد از او ساقط می‌شود.</w:t>
      </w:r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این روایات احیاناً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به‌خصوص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در باب سرقت، شرب خمر و زنا آمده است.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به خلاف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سایر ابواب که در این زمینه چندان روایتی نداریم.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ممکن است از این روایات القای خصوصیت کنیم چراکه هم در قبال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حق‌الله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و هم در قبال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حق‌الناس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است. و 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>می‌توانیم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از روایات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>،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 xml:space="preserve"> چنین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قاعده‌ای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اخذ کنیم که؛</w:t>
      </w:r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>اگر قبل از اینکه شخص به دام بیفتد و دستگیر شود، توبه کرد از او حد ساقط می‌شود.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نیز وجه دوم برای تعمیم اثر توبه است.</w:t>
      </w:r>
    </w:p>
    <w:p w:rsidR="002E377E" w:rsidRPr="007228DE" w:rsidRDefault="002E377E" w:rsidP="0074112D">
      <w:pPr>
        <w:pStyle w:val="Heading2"/>
        <w:rPr>
          <w:rFonts w:ascii="IRBadr" w:hAnsi="IRBadr" w:cs="IRBadr"/>
          <w:rtl/>
        </w:rPr>
      </w:pPr>
      <w:bookmarkStart w:id="11" w:name="_Toc428279996"/>
      <w:r w:rsidRPr="007228DE">
        <w:rPr>
          <w:rFonts w:ascii="IRBadr" w:hAnsi="IRBadr" w:cs="IRBadr"/>
          <w:rtl/>
        </w:rPr>
        <w:lastRenderedPageBreak/>
        <w:t>مناقشه در استدلال فوق</w:t>
      </w:r>
      <w:bookmarkEnd w:id="11"/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اما ممکن است کسی در این استدلال مناقشه نماید به اینکه؛ در اینجا 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القای خصوصیت نمود،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به نحو کلی دلیلی نداریم که بگوید در مطلق حدود این قاعده جاری است.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تنها روایات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به مصادیقی از آن پرداخته است. چراکه در قبال تنقیح مناط باید اطمینان وجود داشته باشد.</w:t>
      </w:r>
    </w:p>
    <w:p w:rsidR="002E377E" w:rsidRPr="007228DE" w:rsidRDefault="002E377E" w:rsidP="0074112D">
      <w:pPr>
        <w:pStyle w:val="Heading2"/>
        <w:rPr>
          <w:rFonts w:ascii="IRBadr" w:hAnsi="IRBadr" w:cs="IRBadr"/>
          <w:rtl/>
        </w:rPr>
      </w:pPr>
      <w:bookmarkStart w:id="12" w:name="_Toc428279997"/>
      <w:r w:rsidRPr="007228DE">
        <w:rPr>
          <w:rFonts w:ascii="IRBadr" w:hAnsi="IRBadr" w:cs="IRBadr"/>
          <w:rtl/>
        </w:rPr>
        <w:t>وجه سوم مسقطیت توبه</w:t>
      </w:r>
      <w:bookmarkEnd w:id="12"/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>وجه سومی که می‌شود در اینجا اقامه کرد برای اینکه بگوییم توبه مثبت حد نیست، این است که روایاتی که در باب سب و شتم نبی و یا ائمه آمده است، اطلاقی ندارد و نوعی انصرافی داشته یا محتمل الانصراف است.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در اینجا مقتضی وجود ندارد.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برخلاف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دو دلیل سابق. در اینجا اطلاقی نداریم که اگر توبه کند مشمول حد باشد.</w:t>
      </w:r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حداقل انصراف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ایجاد شبهه خواهد کرد که حد جاری نشود.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وجهی بعید نیست و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دلیلی صحیح است.</w:t>
      </w:r>
    </w:p>
    <w:p w:rsidR="002E377E" w:rsidRPr="007228DE" w:rsidRDefault="002E377E" w:rsidP="0074112D">
      <w:pPr>
        <w:pStyle w:val="Heading3"/>
        <w:rPr>
          <w:rFonts w:ascii="IRBadr" w:hAnsi="IRBadr" w:cs="IRBadr"/>
          <w:rtl/>
        </w:rPr>
      </w:pPr>
      <w:bookmarkStart w:id="13" w:name="_Toc428279998"/>
      <w:r w:rsidRPr="007228DE">
        <w:rPr>
          <w:rFonts w:ascii="IRBadr" w:hAnsi="IRBadr" w:cs="IRBadr"/>
          <w:rtl/>
        </w:rPr>
        <w:t>طرق اثبات سب</w:t>
      </w:r>
      <w:bookmarkEnd w:id="13"/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از چه 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>راه‌هایی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سب را اثبات نمود؟</w:t>
      </w:r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در باب </w:t>
      </w:r>
      <w:r w:rsidR="007228DE">
        <w:rPr>
          <w:rFonts w:ascii="IRBadr" w:hAnsi="IRBadr" w:cs="IRBadr"/>
          <w:sz w:val="28"/>
          <w:szCs w:val="28"/>
          <w:rtl/>
          <w:lang w:bidi="fa-IR"/>
        </w:rPr>
        <w:t>قضا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و شهادات از طرق اثبات سخن به میان آمد.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 xml:space="preserve"> ازآنجایی‌که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بین این بحث با بحث </w:t>
      </w:r>
      <w:r w:rsidR="007228DE">
        <w:rPr>
          <w:rFonts w:ascii="IRBadr" w:hAnsi="IRBadr" w:cs="IRBadr"/>
          <w:sz w:val="28"/>
          <w:szCs w:val="28"/>
          <w:rtl/>
          <w:lang w:bidi="fa-IR"/>
        </w:rPr>
        <w:t>قضا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نقطه امتیاز و تفاوتی وجود ندارد،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 xml:space="preserve"> بحث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را به آنجا رجوع 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>می‌دهیم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>.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بحث علم قاضی چند قول وجود داشت که در اینجا نیز آن اقوال طبعاً خواهند آمد.</w:t>
      </w:r>
    </w:p>
    <w:p w:rsidR="002E377E" w:rsidRPr="007228DE" w:rsidRDefault="002E377E" w:rsidP="0074112D">
      <w:pPr>
        <w:pStyle w:val="Heading4"/>
        <w:ind w:firstLine="0"/>
        <w:rPr>
          <w:rFonts w:ascii="IRBadr" w:hAnsi="IRBadr" w:cs="IRBadr"/>
          <w:rtl/>
        </w:rPr>
      </w:pPr>
      <w:bookmarkStart w:id="14" w:name="_Toc428279999"/>
      <w:r w:rsidRPr="007228DE">
        <w:rPr>
          <w:rFonts w:ascii="IRBadr" w:hAnsi="IRBadr" w:cs="IRBadr"/>
          <w:rtl/>
        </w:rPr>
        <w:t xml:space="preserve">نوع حق در سب </w:t>
      </w:r>
      <w:r w:rsidR="00784C09" w:rsidRPr="007228DE">
        <w:rPr>
          <w:rFonts w:ascii="IRBadr" w:hAnsi="IRBadr" w:cs="IRBadr"/>
          <w:rtl/>
        </w:rPr>
        <w:t>النبی (</w:t>
      </w:r>
      <w:r w:rsidRPr="007228DE">
        <w:rPr>
          <w:rFonts w:ascii="IRBadr" w:hAnsi="IRBadr" w:cs="IRBadr"/>
          <w:rtl/>
        </w:rPr>
        <w:t>ص)</w:t>
      </w:r>
      <w:bookmarkEnd w:id="14"/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از فروع دیگری که در این باب مطرح 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>می‌گردد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این است که آیا سب النبی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حق‌الله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است یا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حق‌الناس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ظاهر قضیه این است که این نوع از سب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حق‌الله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است. توهین به امام یا پیامبر از حیث شخص او نیست. به لحاظ شخصیت اوست و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این‌یک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امر الهی است. و اگر بگوییم عفو او مؤثر در سقوط حد است از باب اختیاراتی است که حاکم دارد.</w:t>
      </w:r>
    </w:p>
    <w:p w:rsidR="002E377E" w:rsidRPr="007228DE" w:rsidRDefault="002E377E" w:rsidP="0074112D">
      <w:pPr>
        <w:pStyle w:val="Heading4"/>
        <w:ind w:firstLine="0"/>
        <w:rPr>
          <w:rFonts w:ascii="IRBadr" w:hAnsi="IRBadr" w:cs="IRBadr"/>
          <w:rtl/>
        </w:rPr>
      </w:pPr>
      <w:bookmarkStart w:id="15" w:name="_Toc428280000"/>
      <w:r w:rsidRPr="007228DE">
        <w:rPr>
          <w:rFonts w:ascii="IRBadr" w:hAnsi="IRBadr" w:cs="IRBadr"/>
          <w:rtl/>
        </w:rPr>
        <w:t>ادعای نبوت</w:t>
      </w:r>
      <w:bookmarkEnd w:id="15"/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در فروعات ضمن حد قتل اولین موردی که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است بحث سب النبی بوده است.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 xml:space="preserve"> مورد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دوم از بحث در قبال ادعای نبوت است؛</w:t>
      </w:r>
    </w:p>
    <w:p w:rsidR="002E377E" w:rsidRPr="007228DE" w:rsidRDefault="002E377E" w:rsidP="0074112D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lastRenderedPageBreak/>
        <w:t>«من ادّع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النبوّة 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جب قتله، و دمه مباح لمن 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سمع‌ها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منه إلّا مع الخوف 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ما تقدّم.»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5"/>
      </w:r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اگر کسی ادعای پیامبری کند، قتلش لازم و خونش مباح است، مگر اینکه خوف بر نفس داشته باشد طبق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در مسئله قبل گفتیم. این حکم مورد وفاق و اجماع است، ظاهراً عامه </w:t>
      </w:r>
      <w:r w:rsidR="00C1266B" w:rsidRPr="007228DE">
        <w:rPr>
          <w:rFonts w:ascii="IRBadr" w:hAnsi="IRBadr" w:cs="IRBadr"/>
          <w:sz w:val="28"/>
          <w:szCs w:val="28"/>
          <w:rtl/>
          <w:lang w:bidi="fa-IR"/>
        </w:rPr>
        <w:t>هم‌نظرشان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همین است. دلیلش هم خیلی روشن است.</w:t>
      </w:r>
    </w:p>
    <w:p w:rsidR="002E377E" w:rsidRPr="007228DE" w:rsidRDefault="002E377E" w:rsidP="0074112D">
      <w:pPr>
        <w:pStyle w:val="Heading4"/>
        <w:ind w:firstLine="0"/>
        <w:rPr>
          <w:rFonts w:ascii="IRBadr" w:hAnsi="IRBadr" w:cs="IRBadr"/>
          <w:rtl/>
        </w:rPr>
      </w:pPr>
      <w:bookmarkStart w:id="16" w:name="_Toc428280001"/>
      <w:r w:rsidRPr="007228DE">
        <w:rPr>
          <w:rFonts w:ascii="IRBadr" w:hAnsi="IRBadr" w:cs="IRBadr"/>
          <w:rtl/>
        </w:rPr>
        <w:t>مستندات بحث</w:t>
      </w:r>
      <w:bookmarkEnd w:id="16"/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روایات این بحث در ابواب حد مرتد، صفحه پانصد و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پنجاه‌وپنج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، باب هفتم، حدیث دوم </w:t>
      </w:r>
      <w:r w:rsidR="00FF3925" w:rsidRPr="007228DE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2E377E" w:rsidRPr="007228DE" w:rsidRDefault="002E377E" w:rsidP="0074112D">
      <w:pPr>
        <w:pStyle w:val="Heading4"/>
        <w:ind w:firstLine="0"/>
        <w:rPr>
          <w:rFonts w:ascii="IRBadr" w:hAnsi="IRBadr" w:cs="IRBadr"/>
          <w:rtl/>
        </w:rPr>
      </w:pPr>
      <w:bookmarkStart w:id="17" w:name="_Toc428280002"/>
      <w:r w:rsidRPr="007228DE">
        <w:rPr>
          <w:rFonts w:ascii="IRBadr" w:hAnsi="IRBadr" w:cs="IRBadr"/>
          <w:rtl/>
        </w:rPr>
        <w:t>روایت اول</w:t>
      </w:r>
      <w:bookmarkEnd w:id="17"/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>سند این روایت معتبر است.</w:t>
      </w:r>
    </w:p>
    <w:p w:rsidR="002E377E" w:rsidRPr="007228DE" w:rsidRDefault="002E377E" w:rsidP="0074112D">
      <w:pPr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مُحَمَّدُ بْنُ </w:t>
      </w:r>
      <w:r w:rsidR="00784C09"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حْ</w:t>
      </w:r>
      <w:r w:rsidR="00784C09"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یی</w:t>
      </w:r>
      <w:r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أَحْمَدَ بْنِ مُحَمَّدٍ عَنِ ابْنِ فَضَّالٍ عَنْ حَمَّادِ بْنِ عُثْمَانَ عَنِ ابْنِ أَبِ</w:t>
      </w:r>
      <w:r w:rsidR="00784C09"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784C09"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عْفُورٍ قَالَ: قُلْتُ لِأَبِ</w:t>
      </w:r>
      <w:r w:rsidR="00784C09"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إِنَّ بَزِ</w:t>
      </w:r>
      <w:r w:rsidR="00784C09"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عاً </w:t>
      </w:r>
      <w:r w:rsidR="00784C09"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زْعُمُ أَنَّهُ نَبِ</w:t>
      </w:r>
      <w:r w:rsidR="00784C09"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فَقَالَ إِنْ سَمِعْتَهُ </w:t>
      </w:r>
      <w:r w:rsidR="00784C09"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قُولُ ذَلِ</w:t>
      </w:r>
      <w:r w:rsidR="00784C09"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فَاقْتُلْهُ قَالَ فَجَلَسْتُ لَهُ غَ</w:t>
      </w:r>
      <w:r w:rsidR="00784C09"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رَ مَرَّةٍ فَلَمْ </w:t>
      </w:r>
      <w:r w:rsidR="00784C09"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</w:t>
      </w:r>
      <w:r w:rsidR="00784C09"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نِّ</w:t>
      </w:r>
      <w:r w:rsidR="00784C09"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ذَلِ</w:t>
      </w:r>
      <w:r w:rsidR="00784C09"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.</w:t>
      </w:r>
      <w:r w:rsidR="00784C09"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7228D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7228DE">
        <w:rPr>
          <w:rFonts w:ascii="IRBadr" w:hAnsi="IRBadr" w:cs="IRBadr"/>
          <w:b/>
          <w:bCs/>
          <w:color w:val="000000" w:themeColor="text1"/>
          <w:sz w:val="28"/>
          <w:szCs w:val="28"/>
          <w:vertAlign w:val="superscript"/>
          <w:rtl/>
        </w:rPr>
        <w:footnoteReference w:id="6"/>
      </w:r>
    </w:p>
    <w:p w:rsidR="002E377E" w:rsidRPr="007228DE" w:rsidRDefault="002E377E" w:rsidP="0074112D">
      <w:pPr>
        <w:pStyle w:val="Heading4"/>
        <w:ind w:firstLine="0"/>
        <w:rPr>
          <w:rFonts w:ascii="IRBadr" w:hAnsi="IRBadr" w:cs="IRBadr"/>
          <w:rtl/>
        </w:rPr>
      </w:pPr>
      <w:bookmarkStart w:id="18" w:name="_Toc428280003"/>
      <w:r w:rsidRPr="007228DE">
        <w:rPr>
          <w:rFonts w:ascii="IRBadr" w:hAnsi="IRBadr" w:cs="IRBadr"/>
          <w:rtl/>
        </w:rPr>
        <w:t>روایت دوم</w:t>
      </w:r>
      <w:bookmarkEnd w:id="18"/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>دلیل دیگر روایت دوم باب هفتم است که ظاهراً سند روایت درست باشد؛</w:t>
      </w:r>
    </w:p>
    <w:p w:rsidR="002E377E" w:rsidRPr="007228DE" w:rsidRDefault="002E377E" w:rsidP="0074112D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«مُحَمَّدُ بْنُ عَلِ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الْحُسَ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نِ بِإِسْنَادِهِ عَنْ عَلِ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الْحَ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مِ عَنْ أَبَانٍ الْأَحْمَرِ عَنْ أَبِ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بَصِ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رٍ 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حْ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أَبِ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الْقَاسِمِ عَنْ أَبِ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جَعْفَرٍ ع قَالَ فِ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حَدِ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ثٍ قَالَ النَّبِ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ص أَ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هَا النَّاسُ إِنَّهُ لَا نَبِ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بَعْدِ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لَا سُنَّةَ بَعْدَ سُنَّتِ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- فَمَنِ ادَّعَ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ذَلِ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فَدَعْوَاهُ وَ بِدْعَتُ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7"/>
      </w:r>
    </w:p>
    <w:p w:rsidR="002E377E" w:rsidRPr="007228DE" w:rsidRDefault="002E377E" w:rsidP="0074112D">
      <w:pPr>
        <w:pStyle w:val="Heading4"/>
        <w:ind w:firstLine="0"/>
        <w:rPr>
          <w:rFonts w:ascii="IRBadr" w:hAnsi="IRBadr" w:cs="IRBadr"/>
          <w:rtl/>
        </w:rPr>
      </w:pPr>
      <w:bookmarkStart w:id="19" w:name="_Toc428280004"/>
      <w:r w:rsidRPr="007228DE">
        <w:rPr>
          <w:rFonts w:ascii="IRBadr" w:hAnsi="IRBadr" w:cs="IRBadr"/>
          <w:rtl/>
        </w:rPr>
        <w:t>روایت سوم</w:t>
      </w:r>
      <w:bookmarkEnd w:id="19"/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اگر در محمد بن ابراهیم طالقانی مانعی نباشد، سند این روایت </w:t>
      </w:r>
      <w:r w:rsidR="00C1266B" w:rsidRPr="007228DE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2E377E" w:rsidRPr="007228DE" w:rsidRDefault="002E377E" w:rsidP="0074112D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«وَ فِ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عُ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ونِ الْأَخْبَارِ عَنْ مُحَمَّدِ بْنِ إِبْرَاهِ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 الطَّالَقَانِ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أَحْمَدَ بْنِ مُحَمَّدِ بْنِ سَعِ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دٍ عَنْ عَلِ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الْحَسَنِ بْنِ عَلِ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فَضَّالٍ عَنْ أَبِ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عَنِ الرِّضَا ع فِ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حَدِ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ثٍ قَالَ: وَ شَرِ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عَةُ مُحَمَّدٍ ص لَا تُنْسَخُ إِلَ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وْمِ الْقِ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امَةِ- وَ لَا نَبِ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بَعْدَهُ إِلَ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وْمِ الْقِ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امَةِ- فَمَنِ ادَّعَ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بَعْدَهُ نُبُوَّةً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أَوْ أَتَ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بَعْدَهُ بِ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تَابٍ- فَدَمُهُ مُبَاحٌ لِ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لِّ مَنْ سَمِعَ مِنْهُ.</w:t>
      </w:r>
      <w:r w:rsidR="00784C09"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7228D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8"/>
      </w:r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lastRenderedPageBreak/>
        <w:t>این چند روایت مورد اتفاق است.</w:t>
      </w:r>
    </w:p>
    <w:p w:rsidR="002E377E" w:rsidRPr="007228DE" w:rsidRDefault="002E377E" w:rsidP="0074112D">
      <w:pPr>
        <w:pStyle w:val="Heading4"/>
        <w:ind w:firstLine="0"/>
        <w:rPr>
          <w:rFonts w:ascii="IRBadr" w:hAnsi="IRBadr" w:cs="IRBadr"/>
          <w:rtl/>
        </w:rPr>
      </w:pPr>
      <w:bookmarkStart w:id="20" w:name="_Toc428280005"/>
      <w:r w:rsidRPr="007228DE">
        <w:rPr>
          <w:rFonts w:ascii="IRBadr" w:hAnsi="IRBadr" w:cs="IRBadr"/>
          <w:rtl/>
        </w:rPr>
        <w:t>احتمالات در روایت</w:t>
      </w:r>
      <w:bookmarkEnd w:id="20"/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8DE">
        <w:rPr>
          <w:rFonts w:ascii="IRBadr" w:hAnsi="IRBadr" w:cs="IRBadr"/>
          <w:sz w:val="28"/>
          <w:szCs w:val="28"/>
          <w:rtl/>
          <w:lang w:bidi="fa-IR"/>
        </w:rPr>
        <w:t>در این امر امام که می‌فرماید: بکشید دو احتمال در باب آن است. یکی اینکه از باب ولایت و امر ولایی باشد یا اینکه این حکم، حکم الهی است.</w:t>
      </w:r>
      <w:r w:rsidR="00784C09" w:rsidRPr="007228DE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7228DE">
        <w:rPr>
          <w:rFonts w:ascii="IRBadr" w:hAnsi="IRBadr" w:cs="IRBadr"/>
          <w:sz w:val="28"/>
          <w:szCs w:val="28"/>
          <w:rtl/>
          <w:lang w:bidi="fa-IR"/>
        </w:rPr>
        <w:t xml:space="preserve"> اینکه حکم ولایی باشد خلاف اصل است.</w:t>
      </w:r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E377E" w:rsidRPr="007228DE" w:rsidRDefault="002E377E" w:rsidP="007411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7228DE" w:rsidRDefault="00152670" w:rsidP="0074112D">
      <w:pPr>
        <w:bidi/>
        <w:jc w:val="both"/>
        <w:rPr>
          <w:rFonts w:ascii="IRBadr" w:hAnsi="IRBadr" w:cs="IRBadr"/>
          <w:rtl/>
          <w:lang w:bidi="fa-IR"/>
        </w:rPr>
      </w:pPr>
    </w:p>
    <w:sectPr w:rsidR="00152670" w:rsidRPr="007228DE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36" w:rsidRDefault="00E17A36" w:rsidP="000D5800">
      <w:pPr>
        <w:spacing w:after="0" w:line="240" w:lineRule="auto"/>
      </w:pPr>
      <w:r>
        <w:separator/>
      </w:r>
    </w:p>
  </w:endnote>
  <w:endnote w:type="continuationSeparator" w:id="0">
    <w:p w:rsidR="00E17A36" w:rsidRDefault="00E17A36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25" w:rsidRDefault="00FF39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64044699"/>
      <w:docPartObj>
        <w:docPartGallery w:val="Page Numbers (Bottom of Page)"/>
        <w:docPartUnique/>
      </w:docPartObj>
    </w:sdtPr>
    <w:sdtEndPr/>
    <w:sdtContent>
      <w:p w:rsidR="0074112D" w:rsidRDefault="007411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8DE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FF3925" w:rsidRDefault="00FF39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25" w:rsidRDefault="00FF3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36" w:rsidRDefault="00E17A36" w:rsidP="0074112D">
      <w:pPr>
        <w:bidi/>
        <w:spacing w:after="0" w:line="240" w:lineRule="auto"/>
      </w:pPr>
      <w:r>
        <w:separator/>
      </w:r>
    </w:p>
  </w:footnote>
  <w:footnote w:type="continuationSeparator" w:id="0">
    <w:p w:rsidR="00E17A36" w:rsidRDefault="00E17A36" w:rsidP="000D5800">
      <w:pPr>
        <w:spacing w:after="0" w:line="240" w:lineRule="auto"/>
      </w:pPr>
      <w:r>
        <w:continuationSeparator/>
      </w:r>
    </w:p>
  </w:footnote>
  <w:footnote w:id="1">
    <w:p w:rsidR="002E377E" w:rsidRPr="0074112D" w:rsidRDefault="002E377E" w:rsidP="002E377E">
      <w:pPr>
        <w:pStyle w:val="FootnoteText"/>
        <w:rPr>
          <w:rFonts w:ascii="IRBadr" w:hAnsi="IRBadr" w:cs="IRBadr"/>
          <w:b/>
          <w:bCs/>
          <w:rtl/>
        </w:rPr>
      </w:pPr>
      <w:r w:rsidRPr="0074112D">
        <w:rPr>
          <w:rStyle w:val="FootnoteReference"/>
          <w:rFonts w:ascii="IRBadr" w:hAnsi="IRBadr" w:cs="IRBadr"/>
          <w:b/>
          <w:bCs/>
        </w:rPr>
        <w:footnoteRef/>
      </w:r>
      <w:r w:rsidRPr="0074112D">
        <w:rPr>
          <w:rFonts w:ascii="IRBadr" w:hAnsi="IRBadr" w:cs="IRBadr"/>
          <w:b/>
          <w:bCs/>
        </w:rPr>
        <w:t xml:space="preserve"> </w:t>
      </w:r>
      <w:bookmarkStart w:id="2" w:name="_GoBack"/>
      <w:r w:rsidRPr="0074112D">
        <w:rPr>
          <w:rFonts w:ascii="IRBadr" w:hAnsi="IRBadr" w:cs="IRBadr"/>
          <w:b/>
          <w:bCs/>
          <w:color w:val="000000" w:themeColor="text1"/>
          <w:rtl/>
        </w:rPr>
        <w:t>الخلاف</w:t>
      </w:r>
      <w:bookmarkEnd w:id="2"/>
      <w:r w:rsidRPr="0074112D">
        <w:rPr>
          <w:rFonts w:ascii="IRBadr" w:hAnsi="IRBadr" w:cs="IRBadr"/>
          <w:b/>
          <w:bCs/>
          <w:color w:val="000000" w:themeColor="text1"/>
          <w:rtl/>
        </w:rPr>
        <w:t xml:space="preserve">؛ 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ج 5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>، ص: 469</w:t>
      </w:r>
    </w:p>
  </w:footnote>
  <w:footnote w:id="2">
    <w:p w:rsidR="002E377E" w:rsidRPr="0074112D" w:rsidRDefault="002E377E" w:rsidP="002E377E">
      <w:pPr>
        <w:pStyle w:val="FootnoteText"/>
        <w:rPr>
          <w:rFonts w:ascii="IRBadr" w:hAnsi="IRBadr" w:cs="IRBadr"/>
          <w:b/>
          <w:bCs/>
          <w:rtl/>
        </w:rPr>
      </w:pPr>
      <w:r w:rsidRPr="0074112D">
        <w:rPr>
          <w:rStyle w:val="FootnoteReference"/>
          <w:rFonts w:ascii="IRBadr" w:hAnsi="IRBadr" w:cs="IRBadr"/>
          <w:b/>
          <w:bCs/>
        </w:rPr>
        <w:footnoteRef/>
      </w:r>
      <w:r w:rsidRPr="0074112D">
        <w:rPr>
          <w:rFonts w:ascii="IRBadr" w:hAnsi="IRBadr" w:cs="IRBadr"/>
          <w:b/>
          <w:bCs/>
        </w:rPr>
        <w:t xml:space="preserve"> 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>ال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ک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>اف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ی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 xml:space="preserve"> (ط - الإسلام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ی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 xml:space="preserve">ة)؛ 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ج 2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>، ص: 435</w:t>
      </w:r>
    </w:p>
  </w:footnote>
  <w:footnote w:id="3">
    <w:p w:rsidR="002E377E" w:rsidRPr="0074112D" w:rsidRDefault="002E377E" w:rsidP="002E377E">
      <w:pPr>
        <w:pStyle w:val="FootnoteText"/>
        <w:rPr>
          <w:rFonts w:ascii="IRBadr" w:hAnsi="IRBadr" w:cs="IRBadr"/>
          <w:b/>
          <w:bCs/>
          <w:rtl/>
        </w:rPr>
      </w:pPr>
      <w:r w:rsidRPr="0074112D">
        <w:rPr>
          <w:rStyle w:val="FootnoteReference"/>
          <w:rFonts w:ascii="IRBadr" w:hAnsi="IRBadr" w:cs="IRBadr"/>
          <w:b/>
          <w:bCs/>
        </w:rPr>
        <w:footnoteRef/>
      </w:r>
      <w:r w:rsidRPr="0074112D">
        <w:rPr>
          <w:rFonts w:ascii="IRBadr" w:hAnsi="IRBadr" w:cs="IRBadr"/>
          <w:b/>
          <w:bCs/>
        </w:rPr>
        <w:t xml:space="preserve"> 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>ال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ک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>اف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ی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 xml:space="preserve"> (ط - الإسلام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ی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 xml:space="preserve">ة)؛ 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ج 7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>، ص: 220</w:t>
      </w:r>
    </w:p>
  </w:footnote>
  <w:footnote w:id="4">
    <w:p w:rsidR="002E377E" w:rsidRPr="0074112D" w:rsidRDefault="002E377E" w:rsidP="002E377E">
      <w:pPr>
        <w:pStyle w:val="FootnoteText"/>
        <w:rPr>
          <w:rFonts w:ascii="IRBadr" w:hAnsi="IRBadr" w:cs="IRBadr"/>
          <w:b/>
          <w:bCs/>
          <w:rtl/>
        </w:rPr>
      </w:pPr>
      <w:r w:rsidRPr="0074112D">
        <w:rPr>
          <w:rStyle w:val="FootnoteReference"/>
          <w:rFonts w:ascii="IRBadr" w:hAnsi="IRBadr" w:cs="IRBadr"/>
          <w:b/>
          <w:bCs/>
        </w:rPr>
        <w:footnoteRef/>
      </w:r>
      <w:r w:rsidRPr="0074112D">
        <w:rPr>
          <w:rFonts w:ascii="IRBadr" w:hAnsi="IRBadr" w:cs="IRBadr"/>
          <w:b/>
          <w:bCs/>
        </w:rPr>
        <w:t xml:space="preserve"> 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>تهذ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ی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>ب الأح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ک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 xml:space="preserve">ام؛ 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ج 10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>، ص: 46</w:t>
      </w:r>
    </w:p>
  </w:footnote>
  <w:footnote w:id="5">
    <w:p w:rsidR="002E377E" w:rsidRPr="0074112D" w:rsidRDefault="002E377E" w:rsidP="002E377E">
      <w:pPr>
        <w:pStyle w:val="FootnoteText"/>
        <w:rPr>
          <w:rFonts w:ascii="IRBadr" w:hAnsi="IRBadr" w:cs="IRBadr"/>
          <w:b/>
          <w:bCs/>
          <w:rtl/>
        </w:rPr>
      </w:pPr>
      <w:r w:rsidRPr="0074112D">
        <w:rPr>
          <w:rStyle w:val="FootnoteReference"/>
          <w:rFonts w:ascii="IRBadr" w:hAnsi="IRBadr" w:cs="IRBadr"/>
          <w:b/>
          <w:bCs/>
        </w:rPr>
        <w:footnoteRef/>
      </w:r>
      <w:r w:rsidRPr="0074112D">
        <w:rPr>
          <w:rFonts w:ascii="IRBadr" w:hAnsi="IRBadr" w:cs="IRBadr"/>
          <w:b/>
          <w:bCs/>
        </w:rPr>
        <w:t xml:space="preserve"> 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>تفص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ی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>ل الشر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ی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>عة ف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ی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 xml:space="preserve"> شرح تحر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ی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>ر الوس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ی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>لة - الحدود؛ ص: 412</w:t>
      </w:r>
    </w:p>
  </w:footnote>
  <w:footnote w:id="6">
    <w:p w:rsidR="002E377E" w:rsidRPr="0074112D" w:rsidRDefault="002E377E" w:rsidP="002E377E">
      <w:pPr>
        <w:pStyle w:val="FootnoteText"/>
        <w:rPr>
          <w:rFonts w:ascii="IRBadr" w:hAnsi="IRBadr" w:cs="IRBadr"/>
          <w:b/>
          <w:bCs/>
          <w:rtl/>
        </w:rPr>
      </w:pPr>
      <w:r w:rsidRPr="0074112D">
        <w:rPr>
          <w:rStyle w:val="FootnoteReference"/>
          <w:rFonts w:ascii="IRBadr" w:hAnsi="IRBadr" w:cs="IRBadr"/>
          <w:b/>
          <w:bCs/>
        </w:rPr>
        <w:footnoteRef/>
      </w:r>
      <w:r w:rsidRPr="0074112D">
        <w:rPr>
          <w:rFonts w:ascii="IRBadr" w:hAnsi="IRBadr" w:cs="IRBadr"/>
          <w:b/>
          <w:bCs/>
        </w:rPr>
        <w:t xml:space="preserve"> 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>ال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ک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>اف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ی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 xml:space="preserve"> (ط - الإسلام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ی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 xml:space="preserve">ة)؛ 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ج 7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>، ص: 258</w:t>
      </w:r>
    </w:p>
  </w:footnote>
  <w:footnote w:id="7">
    <w:p w:rsidR="002E377E" w:rsidRPr="0074112D" w:rsidRDefault="002E377E" w:rsidP="002E377E">
      <w:pPr>
        <w:pStyle w:val="FootnoteText"/>
        <w:rPr>
          <w:rFonts w:ascii="IRBadr" w:hAnsi="IRBadr" w:cs="IRBadr"/>
          <w:b/>
          <w:bCs/>
          <w:rtl/>
        </w:rPr>
      </w:pPr>
      <w:r w:rsidRPr="0074112D">
        <w:rPr>
          <w:rStyle w:val="FootnoteReference"/>
          <w:rFonts w:ascii="IRBadr" w:hAnsi="IRBadr" w:cs="IRBadr"/>
          <w:b/>
          <w:bCs/>
        </w:rPr>
        <w:footnoteRef/>
      </w:r>
      <w:r w:rsidRPr="0074112D">
        <w:rPr>
          <w:rFonts w:ascii="IRBadr" w:hAnsi="IRBadr" w:cs="IRBadr"/>
          <w:b/>
          <w:bCs/>
        </w:rPr>
        <w:t xml:space="preserve"> 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>وسائل الش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ی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 xml:space="preserve">عة؛ 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ج 28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>، ص: 337</w:t>
      </w:r>
    </w:p>
  </w:footnote>
  <w:footnote w:id="8">
    <w:p w:rsidR="002E377E" w:rsidRPr="0074112D" w:rsidRDefault="002E377E" w:rsidP="002E377E">
      <w:pPr>
        <w:pStyle w:val="FootnoteText"/>
        <w:rPr>
          <w:rFonts w:ascii="IRBadr" w:hAnsi="IRBadr" w:cs="IRBadr"/>
          <w:b/>
          <w:bCs/>
          <w:rtl/>
        </w:rPr>
      </w:pPr>
      <w:r w:rsidRPr="0074112D">
        <w:rPr>
          <w:rStyle w:val="FootnoteReference"/>
          <w:rFonts w:ascii="IRBadr" w:hAnsi="IRBadr" w:cs="IRBadr"/>
          <w:b/>
          <w:bCs/>
        </w:rPr>
        <w:footnoteRef/>
      </w:r>
      <w:r w:rsidRPr="0074112D">
        <w:rPr>
          <w:rFonts w:ascii="IRBadr" w:hAnsi="IRBadr" w:cs="IRBadr"/>
          <w:b/>
          <w:bCs/>
        </w:rPr>
        <w:t xml:space="preserve"> 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>وسائل الش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ی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 xml:space="preserve">عة؛ </w:t>
      </w:r>
      <w:r w:rsidR="00784C09" w:rsidRPr="0074112D">
        <w:rPr>
          <w:rFonts w:ascii="IRBadr" w:hAnsi="IRBadr" w:cs="IRBadr"/>
          <w:b/>
          <w:bCs/>
          <w:color w:val="000000" w:themeColor="text1"/>
          <w:rtl/>
        </w:rPr>
        <w:t>ج 28</w:t>
      </w:r>
      <w:r w:rsidRPr="0074112D">
        <w:rPr>
          <w:rFonts w:ascii="IRBadr" w:hAnsi="IRBadr" w:cs="IRBadr"/>
          <w:b/>
          <w:bCs/>
          <w:color w:val="000000" w:themeColor="text1"/>
          <w:rtl/>
        </w:rPr>
        <w:t>، ص: 338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25" w:rsidRDefault="00FF39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1E4A70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0C82C74C" wp14:editId="102465A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FFEC08" id="Straight Connector 2" o:spid="_x0000_s1026" style="position:absolute;left:0;text-align:left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1" w:name="OLE_LINK1"/>
    <w:bookmarkStart w:id="22" w:name="OLE_LINK2"/>
    <w:r>
      <w:rPr>
        <w:noProof/>
        <w:lang w:bidi="fa-IR"/>
      </w:rPr>
      <w:drawing>
        <wp:inline distT="0" distB="0" distL="0" distR="0" wp14:anchorId="5F5DB174" wp14:editId="286DA8E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1"/>
    <w:bookmarkEnd w:id="22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1E4A70">
      <w:rPr>
        <w:rFonts w:ascii="IranNastaliq" w:hAnsi="IranNastaliq" w:cs="IranNastaliq" w:hint="cs"/>
        <w:sz w:val="40"/>
        <w:szCs w:val="40"/>
        <w:rtl/>
        <w:lang w:bidi="fa-IR"/>
      </w:rPr>
      <w:t>824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25" w:rsidRDefault="00FF39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228A2"/>
    <w:rsid w:val="000324F1"/>
    <w:rsid w:val="00041FE0"/>
    <w:rsid w:val="00052BA3"/>
    <w:rsid w:val="0005497C"/>
    <w:rsid w:val="000626D3"/>
    <w:rsid w:val="0006363E"/>
    <w:rsid w:val="00080DFF"/>
    <w:rsid w:val="00085ED5"/>
    <w:rsid w:val="00086E7F"/>
    <w:rsid w:val="0009185B"/>
    <w:rsid w:val="000A1A51"/>
    <w:rsid w:val="000B725D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A70"/>
    <w:rsid w:val="001E4FFF"/>
    <w:rsid w:val="001F2E3E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49E4"/>
    <w:rsid w:val="002E377E"/>
    <w:rsid w:val="002E450B"/>
    <w:rsid w:val="002E73F9"/>
    <w:rsid w:val="002F05B9"/>
    <w:rsid w:val="00340BA3"/>
    <w:rsid w:val="00355AA6"/>
    <w:rsid w:val="00366400"/>
    <w:rsid w:val="003963D7"/>
    <w:rsid w:val="00396F28"/>
    <w:rsid w:val="003A1A05"/>
    <w:rsid w:val="003A2654"/>
    <w:rsid w:val="003B4C26"/>
    <w:rsid w:val="003C06BF"/>
    <w:rsid w:val="003C7899"/>
    <w:rsid w:val="003D2F0A"/>
    <w:rsid w:val="003D563F"/>
    <w:rsid w:val="003E1E58"/>
    <w:rsid w:val="003F1AED"/>
    <w:rsid w:val="00405199"/>
    <w:rsid w:val="00410699"/>
    <w:rsid w:val="00415360"/>
    <w:rsid w:val="0044591E"/>
    <w:rsid w:val="004651D2"/>
    <w:rsid w:val="00465D26"/>
    <w:rsid w:val="004679F8"/>
    <w:rsid w:val="00494DC0"/>
    <w:rsid w:val="00496073"/>
    <w:rsid w:val="004B337F"/>
    <w:rsid w:val="004E2E68"/>
    <w:rsid w:val="004F3596"/>
    <w:rsid w:val="004F56BA"/>
    <w:rsid w:val="00572E2D"/>
    <w:rsid w:val="00592103"/>
    <w:rsid w:val="005941DD"/>
    <w:rsid w:val="005A545E"/>
    <w:rsid w:val="005A5862"/>
    <w:rsid w:val="005B0852"/>
    <w:rsid w:val="005C06AE"/>
    <w:rsid w:val="005C0D0A"/>
    <w:rsid w:val="00610C18"/>
    <w:rsid w:val="00612385"/>
    <w:rsid w:val="0061376C"/>
    <w:rsid w:val="00636EFA"/>
    <w:rsid w:val="0066229C"/>
    <w:rsid w:val="00675B32"/>
    <w:rsid w:val="0069696C"/>
    <w:rsid w:val="006A085A"/>
    <w:rsid w:val="006D3A87"/>
    <w:rsid w:val="006F01B4"/>
    <w:rsid w:val="007228DE"/>
    <w:rsid w:val="00734D59"/>
    <w:rsid w:val="0073609B"/>
    <w:rsid w:val="0074112D"/>
    <w:rsid w:val="00752745"/>
    <w:rsid w:val="00766458"/>
    <w:rsid w:val="0076665E"/>
    <w:rsid w:val="007749BC"/>
    <w:rsid w:val="00780C88"/>
    <w:rsid w:val="00780E25"/>
    <w:rsid w:val="007818F0"/>
    <w:rsid w:val="00783462"/>
    <w:rsid w:val="00784C09"/>
    <w:rsid w:val="00787B13"/>
    <w:rsid w:val="00792FAC"/>
    <w:rsid w:val="007A5D2F"/>
    <w:rsid w:val="007A7C17"/>
    <w:rsid w:val="007B0C3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253F"/>
    <w:rsid w:val="00857C21"/>
    <w:rsid w:val="008644F4"/>
    <w:rsid w:val="0087093D"/>
    <w:rsid w:val="00883733"/>
    <w:rsid w:val="008965D2"/>
    <w:rsid w:val="008A236D"/>
    <w:rsid w:val="008B565A"/>
    <w:rsid w:val="008C3414"/>
    <w:rsid w:val="008D36D5"/>
    <w:rsid w:val="008E3903"/>
    <w:rsid w:val="008F197C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9F7E77"/>
    <w:rsid w:val="00A02A64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15027"/>
    <w:rsid w:val="00B21CF4"/>
    <w:rsid w:val="00B24300"/>
    <w:rsid w:val="00B512BC"/>
    <w:rsid w:val="00B63F15"/>
    <w:rsid w:val="00BB5F7E"/>
    <w:rsid w:val="00BC26F6"/>
    <w:rsid w:val="00BC4833"/>
    <w:rsid w:val="00BD3122"/>
    <w:rsid w:val="00BD40DA"/>
    <w:rsid w:val="00BF3D67"/>
    <w:rsid w:val="00C1266B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96DC0"/>
    <w:rsid w:val="00DB28BB"/>
    <w:rsid w:val="00DC603F"/>
    <w:rsid w:val="00DD3C0D"/>
    <w:rsid w:val="00DD4864"/>
    <w:rsid w:val="00DD715B"/>
    <w:rsid w:val="00DD71A2"/>
    <w:rsid w:val="00DE0AAF"/>
    <w:rsid w:val="00DE1DC4"/>
    <w:rsid w:val="00DE3B98"/>
    <w:rsid w:val="00E0639C"/>
    <w:rsid w:val="00E067E6"/>
    <w:rsid w:val="00E12531"/>
    <w:rsid w:val="00E143B0"/>
    <w:rsid w:val="00E17A36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76AEB"/>
    <w:rsid w:val="00FC0862"/>
    <w:rsid w:val="00FC1B7D"/>
    <w:rsid w:val="00FC70FB"/>
    <w:rsid w:val="00FD143D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1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1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C539-C81C-4C4F-A058-8701E4CD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5</TotalTime>
  <Pages>7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4</cp:revision>
  <dcterms:created xsi:type="dcterms:W3CDTF">2015-08-25T22:34:00Z</dcterms:created>
  <dcterms:modified xsi:type="dcterms:W3CDTF">2015-08-17T04:05:00Z</dcterms:modified>
</cp:coreProperties>
</file>