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9A" w:rsidRPr="001728D7" w:rsidRDefault="00B31EDD" w:rsidP="00375EAE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1728D7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E8309A" w:rsidRPr="001728D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الرحمن الرحیم</w:t>
      </w:r>
    </w:p>
    <w:p w:rsidR="00375EAE" w:rsidRPr="001728D7" w:rsidRDefault="00375EAE" w:rsidP="00375EAE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1728D7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مطالب:</w:t>
      </w:r>
    </w:p>
    <w:p w:rsidR="00375EAE" w:rsidRPr="001728D7" w:rsidRDefault="00375EAE" w:rsidP="00375E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1728D7">
        <w:rPr>
          <w:rFonts w:ascii="IRBadr" w:hAnsi="IRBadr" w:cs="IRBadr"/>
          <w:b/>
          <w:bCs/>
          <w:sz w:val="28"/>
          <w:rtl/>
        </w:rPr>
        <w:fldChar w:fldCharType="begin"/>
      </w:r>
      <w:r w:rsidRPr="001728D7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1728D7">
        <w:rPr>
          <w:rFonts w:ascii="IRBadr" w:hAnsi="IRBadr" w:cs="IRBadr"/>
          <w:b/>
          <w:bCs/>
          <w:sz w:val="28"/>
        </w:rPr>
        <w:instrText>TOC</w:instrText>
      </w:r>
      <w:r w:rsidRPr="001728D7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1728D7">
        <w:rPr>
          <w:rFonts w:ascii="IRBadr" w:hAnsi="IRBadr" w:cs="IRBadr"/>
          <w:b/>
          <w:bCs/>
          <w:sz w:val="28"/>
        </w:rPr>
        <w:instrText>o "</w:instrText>
      </w:r>
      <w:r w:rsidRPr="001728D7">
        <w:rPr>
          <w:rFonts w:ascii="IRBadr" w:hAnsi="IRBadr" w:cs="IRBadr"/>
          <w:b/>
          <w:bCs/>
          <w:sz w:val="28"/>
          <w:rtl/>
        </w:rPr>
        <w:instrText>1-4</w:instrText>
      </w:r>
      <w:r w:rsidRPr="001728D7">
        <w:rPr>
          <w:rFonts w:ascii="IRBadr" w:hAnsi="IRBadr" w:cs="IRBadr"/>
          <w:b/>
          <w:bCs/>
          <w:sz w:val="28"/>
        </w:rPr>
        <w:instrText>" \h \z \u</w:instrText>
      </w:r>
      <w:r w:rsidRPr="001728D7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1728D7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8280425" w:history="1">
        <w:r w:rsidRPr="001728D7">
          <w:rPr>
            <w:rStyle w:val="Hyperlink"/>
            <w:rFonts w:ascii="IRBadr" w:hAnsi="IRBadr" w:cs="IRBadr"/>
            <w:noProof/>
            <w:rtl/>
          </w:rPr>
          <w:t>ادعاء نبوت</w:t>
        </w:r>
        <w:r w:rsidRPr="001728D7">
          <w:rPr>
            <w:rFonts w:ascii="IRBadr" w:hAnsi="IRBadr" w:cs="IRBadr"/>
            <w:noProof/>
            <w:webHidden/>
          </w:rPr>
          <w:tab/>
        </w:r>
        <w:r w:rsidRPr="001728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1728D7">
          <w:rPr>
            <w:rFonts w:ascii="IRBadr" w:hAnsi="IRBadr" w:cs="IRBadr"/>
            <w:noProof/>
            <w:webHidden/>
          </w:rPr>
          <w:instrText xml:space="preserve"> PAGEREF _Toc428280425 \h </w:instrText>
        </w:r>
        <w:r w:rsidRPr="001728D7">
          <w:rPr>
            <w:rStyle w:val="Hyperlink"/>
            <w:rFonts w:ascii="IRBadr" w:hAnsi="IRBadr" w:cs="IRBadr"/>
            <w:noProof/>
            <w:rtl/>
          </w:rPr>
        </w:r>
        <w:r w:rsidRPr="001728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1728D7">
          <w:rPr>
            <w:rFonts w:ascii="IRBadr" w:hAnsi="IRBadr" w:cs="IRBadr"/>
            <w:noProof/>
            <w:webHidden/>
          </w:rPr>
          <w:t>1</w:t>
        </w:r>
        <w:r w:rsidRPr="001728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75EAE" w:rsidRPr="001728D7" w:rsidRDefault="00E42EC7" w:rsidP="00375E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0426" w:history="1">
        <w:r w:rsidR="00375EAE" w:rsidRPr="001728D7">
          <w:rPr>
            <w:rStyle w:val="Hyperlink"/>
            <w:rFonts w:ascii="IRBadr" w:hAnsi="IRBadr" w:cs="IRBadr"/>
            <w:noProof/>
            <w:rtl/>
          </w:rPr>
          <w:t>مرور بحث سابق</w:t>
        </w:r>
        <w:r w:rsidR="00375EAE" w:rsidRPr="001728D7">
          <w:rPr>
            <w:rFonts w:ascii="IRBadr" w:hAnsi="IRBadr" w:cs="IRBadr"/>
            <w:noProof/>
            <w:webHidden/>
          </w:rPr>
          <w:tab/>
        </w:r>
        <w:r w:rsidR="00375EAE" w:rsidRPr="001728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75EAE" w:rsidRPr="001728D7">
          <w:rPr>
            <w:rFonts w:ascii="IRBadr" w:hAnsi="IRBadr" w:cs="IRBadr"/>
            <w:noProof/>
            <w:webHidden/>
          </w:rPr>
          <w:instrText xml:space="preserve"> PAGEREF _Toc428280426 \h </w:instrText>
        </w:r>
        <w:r w:rsidR="00375EAE" w:rsidRPr="001728D7">
          <w:rPr>
            <w:rStyle w:val="Hyperlink"/>
            <w:rFonts w:ascii="IRBadr" w:hAnsi="IRBadr" w:cs="IRBadr"/>
            <w:noProof/>
            <w:rtl/>
          </w:rPr>
        </w:r>
        <w:r w:rsidR="00375EAE" w:rsidRPr="001728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75EAE" w:rsidRPr="001728D7">
          <w:rPr>
            <w:rFonts w:ascii="IRBadr" w:hAnsi="IRBadr" w:cs="IRBadr"/>
            <w:noProof/>
            <w:webHidden/>
          </w:rPr>
          <w:t>1</w:t>
        </w:r>
        <w:r w:rsidR="00375EAE" w:rsidRPr="001728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75EAE" w:rsidRPr="001728D7" w:rsidRDefault="00E42EC7" w:rsidP="00375E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0427" w:history="1">
        <w:r w:rsidR="00375EAE" w:rsidRPr="001728D7">
          <w:rPr>
            <w:rStyle w:val="Hyperlink"/>
            <w:rFonts w:ascii="IRBadr" w:hAnsi="IRBadr" w:cs="IRBadr"/>
            <w:noProof/>
            <w:rtl/>
          </w:rPr>
          <w:t>اطلاق روایات</w:t>
        </w:r>
        <w:r w:rsidR="00375EAE" w:rsidRPr="001728D7">
          <w:rPr>
            <w:rFonts w:ascii="IRBadr" w:hAnsi="IRBadr" w:cs="IRBadr"/>
            <w:noProof/>
            <w:webHidden/>
          </w:rPr>
          <w:tab/>
        </w:r>
        <w:r w:rsidR="00375EAE" w:rsidRPr="001728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75EAE" w:rsidRPr="001728D7">
          <w:rPr>
            <w:rFonts w:ascii="IRBadr" w:hAnsi="IRBadr" w:cs="IRBadr"/>
            <w:noProof/>
            <w:webHidden/>
          </w:rPr>
          <w:instrText xml:space="preserve"> PAGEREF _Toc428280427 \h </w:instrText>
        </w:r>
        <w:r w:rsidR="00375EAE" w:rsidRPr="001728D7">
          <w:rPr>
            <w:rStyle w:val="Hyperlink"/>
            <w:rFonts w:ascii="IRBadr" w:hAnsi="IRBadr" w:cs="IRBadr"/>
            <w:noProof/>
            <w:rtl/>
          </w:rPr>
        </w:r>
        <w:r w:rsidR="00375EAE" w:rsidRPr="001728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75EAE" w:rsidRPr="001728D7">
          <w:rPr>
            <w:rFonts w:ascii="IRBadr" w:hAnsi="IRBadr" w:cs="IRBadr"/>
            <w:noProof/>
            <w:webHidden/>
          </w:rPr>
          <w:t>2</w:t>
        </w:r>
        <w:r w:rsidR="00375EAE" w:rsidRPr="001728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75EAE" w:rsidRPr="001728D7" w:rsidRDefault="00E42EC7" w:rsidP="00375EA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280428" w:history="1">
        <w:r w:rsidR="00375EAE" w:rsidRPr="001728D7">
          <w:rPr>
            <w:rStyle w:val="Hyperlink"/>
            <w:rFonts w:ascii="IRBadr" w:hAnsi="IRBadr" w:cs="IRBadr"/>
            <w:noProof/>
            <w:rtl/>
          </w:rPr>
          <w:t>تفاوت سه فرض در مدعی</w:t>
        </w:r>
        <w:r w:rsidR="00375EAE" w:rsidRPr="001728D7">
          <w:rPr>
            <w:rFonts w:ascii="IRBadr" w:hAnsi="IRBadr" w:cs="IRBadr"/>
            <w:noProof/>
            <w:webHidden/>
          </w:rPr>
          <w:tab/>
        </w:r>
        <w:r w:rsidR="00375EAE" w:rsidRPr="001728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75EAE" w:rsidRPr="001728D7">
          <w:rPr>
            <w:rFonts w:ascii="IRBadr" w:hAnsi="IRBadr" w:cs="IRBadr"/>
            <w:noProof/>
            <w:webHidden/>
          </w:rPr>
          <w:instrText xml:space="preserve"> PAGEREF _Toc428280428 \h </w:instrText>
        </w:r>
        <w:r w:rsidR="00375EAE" w:rsidRPr="001728D7">
          <w:rPr>
            <w:rStyle w:val="Hyperlink"/>
            <w:rFonts w:ascii="IRBadr" w:hAnsi="IRBadr" w:cs="IRBadr"/>
            <w:noProof/>
            <w:rtl/>
          </w:rPr>
        </w:r>
        <w:r w:rsidR="00375EAE" w:rsidRPr="001728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75EAE" w:rsidRPr="001728D7">
          <w:rPr>
            <w:rFonts w:ascii="IRBadr" w:hAnsi="IRBadr" w:cs="IRBadr"/>
            <w:noProof/>
            <w:webHidden/>
          </w:rPr>
          <w:t>2</w:t>
        </w:r>
        <w:r w:rsidR="00375EAE" w:rsidRPr="001728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75EAE" w:rsidRPr="001728D7" w:rsidRDefault="00E42EC7" w:rsidP="00375EAE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0429" w:history="1">
        <w:r w:rsidR="00375EAE" w:rsidRPr="001728D7">
          <w:rPr>
            <w:rStyle w:val="Hyperlink"/>
            <w:rFonts w:ascii="IRBadr" w:hAnsi="IRBadr" w:cs="IRBadr"/>
            <w:noProof/>
            <w:rtl/>
          </w:rPr>
          <w:t>تفاوت مرتد و ساب</w:t>
        </w:r>
        <w:r w:rsidR="00375EAE" w:rsidRPr="001728D7">
          <w:rPr>
            <w:rFonts w:ascii="IRBadr" w:hAnsi="IRBadr" w:cs="IRBadr"/>
            <w:noProof/>
            <w:webHidden/>
          </w:rPr>
          <w:tab/>
        </w:r>
        <w:r w:rsidR="00375EAE" w:rsidRPr="001728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75EAE" w:rsidRPr="001728D7">
          <w:rPr>
            <w:rFonts w:ascii="IRBadr" w:hAnsi="IRBadr" w:cs="IRBadr"/>
            <w:noProof/>
            <w:webHidden/>
          </w:rPr>
          <w:instrText xml:space="preserve"> PAGEREF _Toc428280429 \h </w:instrText>
        </w:r>
        <w:r w:rsidR="00375EAE" w:rsidRPr="001728D7">
          <w:rPr>
            <w:rStyle w:val="Hyperlink"/>
            <w:rFonts w:ascii="IRBadr" w:hAnsi="IRBadr" w:cs="IRBadr"/>
            <w:noProof/>
            <w:rtl/>
          </w:rPr>
        </w:r>
        <w:r w:rsidR="00375EAE" w:rsidRPr="001728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75EAE" w:rsidRPr="001728D7">
          <w:rPr>
            <w:rFonts w:ascii="IRBadr" w:hAnsi="IRBadr" w:cs="IRBadr"/>
            <w:noProof/>
            <w:webHidden/>
          </w:rPr>
          <w:t>3</w:t>
        </w:r>
        <w:r w:rsidR="00375EAE" w:rsidRPr="001728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75EAE" w:rsidRPr="001728D7" w:rsidRDefault="00E42EC7" w:rsidP="00375EAE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0430" w:history="1">
        <w:r w:rsidR="00375EAE" w:rsidRPr="001728D7">
          <w:rPr>
            <w:rStyle w:val="Hyperlink"/>
            <w:rFonts w:ascii="IRBadr" w:hAnsi="IRBadr" w:cs="IRBadr"/>
            <w:noProof/>
            <w:rtl/>
          </w:rPr>
          <w:t>نوع قتل مدعی نبوت</w:t>
        </w:r>
        <w:r w:rsidR="00375EAE" w:rsidRPr="001728D7">
          <w:rPr>
            <w:rFonts w:ascii="IRBadr" w:hAnsi="IRBadr" w:cs="IRBadr"/>
            <w:noProof/>
            <w:webHidden/>
          </w:rPr>
          <w:tab/>
        </w:r>
        <w:r w:rsidR="00375EAE" w:rsidRPr="001728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75EAE" w:rsidRPr="001728D7">
          <w:rPr>
            <w:rFonts w:ascii="IRBadr" w:hAnsi="IRBadr" w:cs="IRBadr"/>
            <w:noProof/>
            <w:webHidden/>
          </w:rPr>
          <w:instrText xml:space="preserve"> PAGEREF _Toc428280430 \h </w:instrText>
        </w:r>
        <w:r w:rsidR="00375EAE" w:rsidRPr="001728D7">
          <w:rPr>
            <w:rStyle w:val="Hyperlink"/>
            <w:rFonts w:ascii="IRBadr" w:hAnsi="IRBadr" w:cs="IRBadr"/>
            <w:noProof/>
            <w:rtl/>
          </w:rPr>
        </w:r>
        <w:r w:rsidR="00375EAE" w:rsidRPr="001728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75EAE" w:rsidRPr="001728D7">
          <w:rPr>
            <w:rFonts w:ascii="IRBadr" w:hAnsi="IRBadr" w:cs="IRBadr"/>
            <w:noProof/>
            <w:webHidden/>
          </w:rPr>
          <w:t>3</w:t>
        </w:r>
        <w:r w:rsidR="00375EAE" w:rsidRPr="001728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75EAE" w:rsidRPr="001728D7" w:rsidRDefault="00E42EC7" w:rsidP="00375EAE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280431" w:history="1">
        <w:r w:rsidR="00375EAE" w:rsidRPr="001728D7">
          <w:rPr>
            <w:rStyle w:val="Hyperlink"/>
            <w:rFonts w:ascii="IRBadr" w:hAnsi="IRBadr" w:cs="IRBadr"/>
            <w:noProof/>
            <w:rtl/>
          </w:rPr>
          <w:t>تقیید حکم</w:t>
        </w:r>
        <w:r w:rsidR="00375EAE" w:rsidRPr="001728D7">
          <w:rPr>
            <w:rFonts w:ascii="IRBadr" w:hAnsi="IRBadr" w:cs="IRBadr"/>
            <w:noProof/>
            <w:webHidden/>
          </w:rPr>
          <w:tab/>
        </w:r>
        <w:r w:rsidR="00375EAE" w:rsidRPr="001728D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75EAE" w:rsidRPr="001728D7">
          <w:rPr>
            <w:rFonts w:ascii="IRBadr" w:hAnsi="IRBadr" w:cs="IRBadr"/>
            <w:noProof/>
            <w:webHidden/>
          </w:rPr>
          <w:instrText xml:space="preserve"> PAGEREF _Toc428280431 \h </w:instrText>
        </w:r>
        <w:r w:rsidR="00375EAE" w:rsidRPr="001728D7">
          <w:rPr>
            <w:rStyle w:val="Hyperlink"/>
            <w:rFonts w:ascii="IRBadr" w:hAnsi="IRBadr" w:cs="IRBadr"/>
            <w:noProof/>
            <w:rtl/>
          </w:rPr>
        </w:r>
        <w:r w:rsidR="00375EAE" w:rsidRPr="001728D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75EAE" w:rsidRPr="001728D7">
          <w:rPr>
            <w:rFonts w:ascii="IRBadr" w:hAnsi="IRBadr" w:cs="IRBadr"/>
            <w:noProof/>
            <w:webHidden/>
          </w:rPr>
          <w:t>3</w:t>
        </w:r>
        <w:r w:rsidR="00375EAE" w:rsidRPr="001728D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75EAE" w:rsidRPr="001728D7" w:rsidRDefault="00375EAE" w:rsidP="00375EAE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1728D7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375EAE" w:rsidRPr="001728D7" w:rsidRDefault="00375EAE" w:rsidP="00375EAE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1728D7">
        <w:rPr>
          <w:rFonts w:ascii="IRBadr" w:hAnsi="IRBadr" w:cs="IRBadr"/>
          <w:b/>
          <w:bCs/>
          <w:sz w:val="28"/>
          <w:szCs w:val="28"/>
          <w:rtl/>
          <w:lang w:bidi="fa-IR"/>
        </w:rPr>
        <w:br w:type="page"/>
      </w:r>
    </w:p>
    <w:p w:rsidR="00E8309A" w:rsidRPr="001728D7" w:rsidRDefault="001728D7" w:rsidP="00375EAE">
      <w:pPr>
        <w:pStyle w:val="Heading1"/>
        <w:rPr>
          <w:rFonts w:ascii="IRBadr" w:hAnsi="IRBadr" w:cs="IRBadr"/>
          <w:rtl/>
        </w:rPr>
      </w:pPr>
      <w:bookmarkStart w:id="0" w:name="_Toc428280425"/>
      <w:r>
        <w:rPr>
          <w:rFonts w:ascii="IRBadr" w:hAnsi="IRBadr" w:cs="IRBadr"/>
          <w:rtl/>
        </w:rPr>
        <w:lastRenderedPageBreak/>
        <w:t>ادعا</w:t>
      </w:r>
      <w:r>
        <w:rPr>
          <w:rFonts w:ascii="IRBadr" w:hAnsi="IRBadr" w:cs="IRBadr" w:hint="cs"/>
          <w:rtl/>
        </w:rPr>
        <w:t>ی</w:t>
      </w:r>
      <w:r w:rsidR="00E8309A" w:rsidRPr="001728D7">
        <w:rPr>
          <w:rFonts w:ascii="IRBadr" w:hAnsi="IRBadr" w:cs="IRBadr"/>
          <w:rtl/>
        </w:rPr>
        <w:t xml:space="preserve"> نبوت</w:t>
      </w:r>
      <w:bookmarkEnd w:id="0"/>
    </w:p>
    <w:p w:rsidR="00E8309A" w:rsidRPr="001728D7" w:rsidRDefault="00E8309A" w:rsidP="00375EAE">
      <w:pPr>
        <w:pStyle w:val="Heading1"/>
        <w:rPr>
          <w:rFonts w:ascii="IRBadr" w:hAnsi="IRBadr" w:cs="IRBadr"/>
          <w:rtl/>
        </w:rPr>
      </w:pPr>
      <w:bookmarkStart w:id="1" w:name="_Toc428280426"/>
      <w:r w:rsidRPr="001728D7">
        <w:rPr>
          <w:rFonts w:ascii="IRBadr" w:hAnsi="IRBadr" w:cs="IRBadr"/>
          <w:rtl/>
        </w:rPr>
        <w:t>مرور بحث سابق</w:t>
      </w:r>
      <w:bookmarkEnd w:id="1"/>
    </w:p>
    <w:p w:rsidR="00E8309A" w:rsidRPr="001728D7" w:rsidRDefault="00E8309A" w:rsidP="00375E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28D7">
        <w:rPr>
          <w:rFonts w:ascii="IRBadr" w:hAnsi="IRBadr" w:cs="IRBadr"/>
          <w:sz w:val="28"/>
          <w:szCs w:val="28"/>
          <w:rtl/>
          <w:lang w:bidi="fa-IR"/>
        </w:rPr>
        <w:t>بحث در امر دومی بود که در تحریر آمده بود؛</w:t>
      </w:r>
    </w:p>
    <w:p w:rsidR="00E8309A" w:rsidRPr="001728D7" w:rsidRDefault="00E8309A" w:rsidP="00375EAE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1728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«من ادّع</w:t>
      </w:r>
      <w:r w:rsidR="00304087" w:rsidRPr="001728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728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النبوّة </w:t>
      </w:r>
      <w:r w:rsidR="00304087" w:rsidRPr="001728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728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جب قتله، و دمه مباح لمن </w:t>
      </w:r>
      <w:r w:rsidR="001728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سمع</w:t>
      </w:r>
      <w:bookmarkStart w:id="2" w:name="_GoBack"/>
      <w:bookmarkEnd w:id="2"/>
      <w:r w:rsidR="00304087" w:rsidRPr="001728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Pr="001728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منه إلّا مع الخوف </w:t>
      </w:r>
      <w:r w:rsidR="00304087" w:rsidRPr="001728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1728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ما تقدّم.»</w:t>
      </w:r>
      <w:r w:rsidRPr="001728D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E8309A" w:rsidRPr="001728D7" w:rsidRDefault="00E8309A" w:rsidP="00375E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ادله بحث برگرفته از روایاتی بود که در ابواب حد مرتد </w:t>
      </w:r>
      <w:r w:rsidR="00B31EDD" w:rsidRPr="001728D7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31EDD" w:rsidRPr="001728D7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دیگری که </w:t>
      </w:r>
      <w:r w:rsidR="00B31EDD" w:rsidRPr="001728D7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قرار گرفت،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بود که قتل ساب نیازمند اذن امام یا حاکم است که گفته شد،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از موارد استثناء شده است و طبق نص روایت نیاز به اذن نیست.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حکمی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در اینجا </w:t>
      </w:r>
      <w:r w:rsidR="00B31EDD" w:rsidRPr="001728D7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حکم الهی است و ولایی نبوده است.</w:t>
      </w:r>
    </w:p>
    <w:p w:rsidR="00E8309A" w:rsidRPr="001728D7" w:rsidRDefault="00E8309A" w:rsidP="00375EAE">
      <w:pPr>
        <w:pStyle w:val="Heading1"/>
        <w:rPr>
          <w:rFonts w:ascii="IRBadr" w:hAnsi="IRBadr" w:cs="IRBadr"/>
          <w:rtl/>
        </w:rPr>
      </w:pPr>
      <w:bookmarkStart w:id="3" w:name="_Toc428280427"/>
      <w:r w:rsidRPr="001728D7">
        <w:rPr>
          <w:rFonts w:ascii="IRBadr" w:hAnsi="IRBadr" w:cs="IRBadr"/>
          <w:rtl/>
        </w:rPr>
        <w:t>اطلاق روایات</w:t>
      </w:r>
      <w:bookmarkEnd w:id="3"/>
    </w:p>
    <w:p w:rsidR="00E8309A" w:rsidRPr="001728D7" w:rsidRDefault="00E8309A" w:rsidP="00375E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28D7">
        <w:rPr>
          <w:rFonts w:ascii="IRBadr" w:hAnsi="IRBadr" w:cs="IRBadr"/>
          <w:sz w:val="28"/>
          <w:szCs w:val="28"/>
          <w:rtl/>
          <w:lang w:bidi="fa-IR"/>
        </w:rPr>
        <w:t>گفته شد در این جهت فرقی میان کافر و مسلم نیست.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اطلاق از جهتی دیگر نیز جزئیات را تحت پوشش خود قرار 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B31EDD" w:rsidRPr="001728D7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سه گروه 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>می‌توانند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مدعی نبوت باشند؛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مسلم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>،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کافر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ذمی و کافر حربی.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اطلاق موجود در روایت هر سه گروه را </w:t>
      </w:r>
      <w:r w:rsidR="00B31EDD" w:rsidRPr="001728D7">
        <w:rPr>
          <w:rFonts w:ascii="IRBadr" w:hAnsi="IRBadr" w:cs="IRBadr"/>
          <w:sz w:val="28"/>
          <w:szCs w:val="28"/>
          <w:rtl/>
          <w:lang w:bidi="fa-IR"/>
        </w:rPr>
        <w:t>دربرمی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گیرد.</w:t>
      </w:r>
    </w:p>
    <w:p w:rsidR="00E8309A" w:rsidRPr="001728D7" w:rsidRDefault="00E8309A" w:rsidP="00375EAE">
      <w:pPr>
        <w:pStyle w:val="Heading2"/>
        <w:rPr>
          <w:rFonts w:ascii="IRBadr" w:hAnsi="IRBadr" w:cs="IRBadr"/>
          <w:rtl/>
        </w:rPr>
      </w:pPr>
      <w:bookmarkStart w:id="4" w:name="_Toc428280428"/>
      <w:r w:rsidRPr="001728D7">
        <w:rPr>
          <w:rFonts w:ascii="IRBadr" w:hAnsi="IRBadr" w:cs="IRBadr"/>
          <w:rtl/>
        </w:rPr>
        <w:t>تفاوت سه فرض در مدعی</w:t>
      </w:r>
      <w:bookmarkEnd w:id="4"/>
    </w:p>
    <w:p w:rsidR="00E8309A" w:rsidRPr="001728D7" w:rsidRDefault="00E8309A" w:rsidP="00375E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اما فرقی که این صور دارد در این است که اگر مسلم ادعای نبوت کند، علاوه بر اینکه مشمول این عنوان است، مشمول عنوان ارتداد نیز 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>، اگر مرتد فطری باشد حکمی و اگر مرتد ملی باشد حکم دیگری دارد. پس ادعای نبوت دو حد و دو نوع احکام بر آن مترتب می‌شود.</w:t>
      </w:r>
    </w:p>
    <w:p w:rsidR="00E8309A" w:rsidRPr="001728D7" w:rsidRDefault="00E8309A" w:rsidP="00375E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یکی اینکه فرد مسلمان وقتی ادعای نبوت کند، موجب ارتدادش می‌شود. چون خاتمیت و ضروری دین را انکار می‌کند.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برخی صور ارتداد،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محکوم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به قتل،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برخی حبس و در مواردی دیگر محکوم به افتراق بین او همسرش خواهد شد یا مال او از او سلب خواهد شد.</w:t>
      </w:r>
    </w:p>
    <w:p w:rsidR="00E8309A" w:rsidRPr="001728D7" w:rsidRDefault="00E8309A" w:rsidP="00375EAE">
      <w:pPr>
        <w:pStyle w:val="Heading3"/>
        <w:rPr>
          <w:rFonts w:ascii="IRBadr" w:hAnsi="IRBadr" w:cs="IRBadr"/>
          <w:rtl/>
        </w:rPr>
      </w:pPr>
      <w:bookmarkStart w:id="5" w:name="_Toc428280429"/>
      <w:r w:rsidRPr="001728D7">
        <w:rPr>
          <w:rFonts w:ascii="IRBadr" w:hAnsi="IRBadr" w:cs="IRBadr"/>
          <w:rtl/>
        </w:rPr>
        <w:lastRenderedPageBreak/>
        <w:t>تفاوت مرتد و ساب</w:t>
      </w:r>
      <w:bookmarkEnd w:id="5"/>
    </w:p>
    <w:p w:rsidR="00E8309A" w:rsidRPr="001728D7" w:rsidRDefault="00E8309A" w:rsidP="00375E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28D7">
        <w:rPr>
          <w:rFonts w:ascii="IRBadr" w:hAnsi="IRBadr" w:cs="IRBadr"/>
          <w:sz w:val="28"/>
          <w:szCs w:val="28"/>
          <w:rtl/>
          <w:lang w:bidi="fa-IR"/>
        </w:rPr>
        <w:t>اختلاف احکامی که بین مرتد و مدعی وجود دارد،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بین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این دو عنوان جدا 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>،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احکام خاص مرتد مثل نجاست بر او جاری 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>.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در قبال کافر ذمی به هنگام ادعای نبوت ارتداد معنا ندارد،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تنها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دم او مباح خواهد بود.</w:t>
      </w:r>
    </w:p>
    <w:p w:rsidR="00E8309A" w:rsidRPr="001728D7" w:rsidRDefault="00E8309A" w:rsidP="00375EAE">
      <w:pPr>
        <w:pStyle w:val="Heading4"/>
        <w:ind w:firstLine="0"/>
        <w:rPr>
          <w:rFonts w:ascii="IRBadr" w:hAnsi="IRBadr" w:cs="IRBadr"/>
          <w:rtl/>
        </w:rPr>
      </w:pPr>
      <w:bookmarkStart w:id="6" w:name="_Toc428280430"/>
      <w:r w:rsidRPr="001728D7">
        <w:rPr>
          <w:rFonts w:ascii="IRBadr" w:hAnsi="IRBadr" w:cs="IRBadr"/>
          <w:rtl/>
        </w:rPr>
        <w:t>نوع قتل مدعی نبوت</w:t>
      </w:r>
      <w:bookmarkEnd w:id="6"/>
    </w:p>
    <w:p w:rsidR="00E8309A" w:rsidRPr="001728D7" w:rsidRDefault="00E8309A" w:rsidP="00375E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28D7">
        <w:rPr>
          <w:rFonts w:ascii="IRBadr" w:hAnsi="IRBadr" w:cs="IRBadr"/>
          <w:sz w:val="28"/>
          <w:szCs w:val="28"/>
          <w:rtl/>
          <w:lang w:bidi="fa-IR"/>
        </w:rPr>
        <w:t>در روایت در قبال حکم فرد مدعی فرموده شده است که او باید کشته شود،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در رابطه با نوع قتل او اطلاق وجود دارد که چطور کشته شود؟ اما </w:t>
      </w:r>
      <w:r w:rsidR="00B31EDD" w:rsidRPr="001728D7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که سابقاً نیز گذشت برای کشتن انواعی وجود دارد، برخی از 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مانند رجم همراه با مشقت زائد از قتل است یا نوع کشتنی که در قبال مفسد </w:t>
      </w:r>
      <w:r w:rsidR="00B31EDD" w:rsidRPr="001728D7">
        <w:rPr>
          <w:rFonts w:ascii="IRBadr" w:hAnsi="IRBadr" w:cs="IRBadr"/>
          <w:sz w:val="28"/>
          <w:szCs w:val="28"/>
          <w:rtl/>
          <w:lang w:bidi="fa-IR"/>
        </w:rPr>
        <w:t>فی‌الارض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در آیات و روایات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31EDD" w:rsidRPr="001728D7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طبعاً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اطلاقات </w:t>
      </w:r>
      <w:r w:rsidR="00B31EDD" w:rsidRPr="001728D7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این موارد را در </w:t>
      </w:r>
      <w:r w:rsidR="00B31EDD" w:rsidRPr="001728D7">
        <w:rPr>
          <w:rFonts w:ascii="IRBadr" w:hAnsi="IRBadr" w:cs="IRBadr"/>
          <w:sz w:val="28"/>
          <w:szCs w:val="28"/>
          <w:rtl/>
          <w:lang w:bidi="fa-IR"/>
        </w:rPr>
        <w:t>برنمی‌گیرد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>.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به سمت افراد متعارف آن انصراف دارد.</w:t>
      </w:r>
    </w:p>
    <w:p w:rsidR="00E8309A" w:rsidRPr="001728D7" w:rsidRDefault="00E8309A" w:rsidP="00375E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علاوه بر اینکه قاعده درع نیز در اینجا حکم به امر فوق دارد و هر مشقت </w:t>
      </w:r>
      <w:r w:rsidR="00B31EDD" w:rsidRPr="001728D7">
        <w:rPr>
          <w:rFonts w:ascii="IRBadr" w:hAnsi="IRBadr" w:cs="IRBadr"/>
          <w:sz w:val="28"/>
          <w:szCs w:val="28"/>
          <w:rtl/>
          <w:lang w:bidi="fa-IR"/>
        </w:rPr>
        <w:t>زائده‌ای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را نفی 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>.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همه این موارد غیر از عناوینی است که در قبال 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دلیل خاص </w:t>
      </w:r>
      <w:r w:rsidR="00B31EDD" w:rsidRPr="001728D7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است همانند </w:t>
      </w:r>
      <w:r w:rsidR="00B31EDD" w:rsidRPr="001728D7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که در قبال زنا و حکم سنگسار </w:t>
      </w:r>
      <w:r w:rsidR="00B31EDD" w:rsidRPr="001728D7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E8309A" w:rsidRPr="001728D7" w:rsidRDefault="00E8309A" w:rsidP="00375EAE">
      <w:pPr>
        <w:pStyle w:val="Heading4"/>
        <w:ind w:firstLine="0"/>
        <w:rPr>
          <w:rFonts w:ascii="IRBadr" w:hAnsi="IRBadr" w:cs="IRBadr"/>
          <w:rtl/>
        </w:rPr>
      </w:pPr>
      <w:bookmarkStart w:id="7" w:name="_Toc428280431"/>
      <w:r w:rsidRPr="001728D7">
        <w:rPr>
          <w:rFonts w:ascii="IRBadr" w:hAnsi="IRBadr" w:cs="IRBadr"/>
          <w:rtl/>
        </w:rPr>
        <w:t>تقیید حکم</w:t>
      </w:r>
      <w:bookmarkEnd w:id="7"/>
    </w:p>
    <w:p w:rsidR="00E8309A" w:rsidRPr="001728D7" w:rsidRDefault="00E8309A" w:rsidP="00375E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28D7">
        <w:rPr>
          <w:rFonts w:ascii="IRBadr" w:hAnsi="IRBadr" w:cs="IRBadr"/>
          <w:sz w:val="28"/>
          <w:szCs w:val="28"/>
          <w:rtl/>
          <w:lang w:bidi="fa-IR"/>
        </w:rPr>
        <w:t>تقیید دیگری که در قبال این حکم وجود دارد،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است که این حکم مقید به عدم ضرر و حرج است،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همان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صوری که در باب سب ترسیم شد،</w:t>
      </w:r>
      <w:r w:rsidR="00304087" w:rsidRPr="001728D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1728D7">
        <w:rPr>
          <w:rFonts w:ascii="IRBadr" w:hAnsi="IRBadr" w:cs="IRBadr"/>
          <w:sz w:val="28"/>
          <w:szCs w:val="28"/>
          <w:rtl/>
          <w:lang w:bidi="fa-IR"/>
        </w:rPr>
        <w:t xml:space="preserve"> اینجا نیز جاری خواهد شد.</w:t>
      </w:r>
    </w:p>
    <w:p w:rsidR="00E8309A" w:rsidRPr="001728D7" w:rsidRDefault="00E8309A" w:rsidP="00375E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E8309A" w:rsidRPr="001728D7" w:rsidRDefault="00E8309A" w:rsidP="00375E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1728D7" w:rsidRDefault="00152670" w:rsidP="00375EAE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1728D7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C7" w:rsidRDefault="00E42EC7" w:rsidP="000D5800">
      <w:pPr>
        <w:spacing w:after="0" w:line="240" w:lineRule="auto"/>
      </w:pPr>
      <w:r>
        <w:separator/>
      </w:r>
    </w:p>
  </w:endnote>
  <w:endnote w:type="continuationSeparator" w:id="0">
    <w:p w:rsidR="00E42EC7" w:rsidRDefault="00E42EC7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DD" w:rsidRDefault="00B31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6967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EAE" w:rsidRDefault="00375E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8D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B31EDD" w:rsidRDefault="00B31E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DD" w:rsidRDefault="00B31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C7" w:rsidRDefault="00E42EC7" w:rsidP="00375EAE">
      <w:pPr>
        <w:bidi/>
        <w:spacing w:after="0" w:line="240" w:lineRule="auto"/>
      </w:pPr>
      <w:r>
        <w:separator/>
      </w:r>
    </w:p>
  </w:footnote>
  <w:footnote w:type="continuationSeparator" w:id="0">
    <w:p w:rsidR="00E42EC7" w:rsidRDefault="00E42EC7" w:rsidP="000D5800">
      <w:pPr>
        <w:spacing w:after="0" w:line="240" w:lineRule="auto"/>
      </w:pPr>
      <w:r>
        <w:continuationSeparator/>
      </w:r>
    </w:p>
  </w:footnote>
  <w:footnote w:id="1">
    <w:p w:rsidR="00E8309A" w:rsidRPr="00375EAE" w:rsidRDefault="00E8309A" w:rsidP="00E8309A">
      <w:pPr>
        <w:pStyle w:val="FootnoteText"/>
        <w:rPr>
          <w:rFonts w:ascii="IRBadr" w:hAnsi="IRBadr" w:cs="IRBadr"/>
          <w:b/>
          <w:bCs/>
          <w:rtl/>
        </w:rPr>
      </w:pPr>
      <w:r w:rsidRPr="00375EAE">
        <w:rPr>
          <w:rStyle w:val="FootnoteReference"/>
          <w:rFonts w:ascii="IRBadr" w:hAnsi="IRBadr" w:cs="IRBadr"/>
          <w:b/>
          <w:bCs/>
        </w:rPr>
        <w:footnoteRef/>
      </w:r>
      <w:r w:rsidRPr="00375EAE">
        <w:rPr>
          <w:rFonts w:ascii="IRBadr" w:hAnsi="IRBadr" w:cs="IRBadr"/>
          <w:b/>
          <w:bCs/>
        </w:rPr>
        <w:t xml:space="preserve"> </w:t>
      </w:r>
      <w:r w:rsidRPr="00375EAE">
        <w:rPr>
          <w:rFonts w:ascii="IRBadr" w:hAnsi="IRBadr" w:cs="IRBadr"/>
          <w:b/>
          <w:bCs/>
          <w:color w:val="000000" w:themeColor="text1"/>
          <w:rtl/>
        </w:rPr>
        <w:t>تفص</w:t>
      </w:r>
      <w:r w:rsidR="00304087" w:rsidRPr="00375EAE">
        <w:rPr>
          <w:rFonts w:ascii="IRBadr" w:hAnsi="IRBadr" w:cs="IRBadr"/>
          <w:b/>
          <w:bCs/>
          <w:color w:val="000000" w:themeColor="text1"/>
          <w:rtl/>
        </w:rPr>
        <w:t>ی</w:t>
      </w:r>
      <w:r w:rsidRPr="00375EAE">
        <w:rPr>
          <w:rFonts w:ascii="IRBadr" w:hAnsi="IRBadr" w:cs="IRBadr"/>
          <w:b/>
          <w:bCs/>
          <w:color w:val="000000" w:themeColor="text1"/>
          <w:rtl/>
        </w:rPr>
        <w:t>ل الشر</w:t>
      </w:r>
      <w:r w:rsidR="00304087" w:rsidRPr="00375EAE">
        <w:rPr>
          <w:rFonts w:ascii="IRBadr" w:hAnsi="IRBadr" w:cs="IRBadr"/>
          <w:b/>
          <w:bCs/>
          <w:color w:val="000000" w:themeColor="text1"/>
          <w:rtl/>
        </w:rPr>
        <w:t>ی</w:t>
      </w:r>
      <w:r w:rsidRPr="00375EAE">
        <w:rPr>
          <w:rFonts w:ascii="IRBadr" w:hAnsi="IRBadr" w:cs="IRBadr"/>
          <w:b/>
          <w:bCs/>
          <w:color w:val="000000" w:themeColor="text1"/>
          <w:rtl/>
        </w:rPr>
        <w:t>عة ف</w:t>
      </w:r>
      <w:r w:rsidR="00304087" w:rsidRPr="00375EAE">
        <w:rPr>
          <w:rFonts w:ascii="IRBadr" w:hAnsi="IRBadr" w:cs="IRBadr"/>
          <w:b/>
          <w:bCs/>
          <w:color w:val="000000" w:themeColor="text1"/>
          <w:rtl/>
        </w:rPr>
        <w:t>ی</w:t>
      </w:r>
      <w:r w:rsidRPr="00375EAE">
        <w:rPr>
          <w:rFonts w:ascii="IRBadr" w:hAnsi="IRBadr" w:cs="IRBadr"/>
          <w:b/>
          <w:bCs/>
          <w:color w:val="000000" w:themeColor="text1"/>
          <w:rtl/>
        </w:rPr>
        <w:t xml:space="preserve"> شرح تحر</w:t>
      </w:r>
      <w:r w:rsidR="00304087" w:rsidRPr="00375EAE">
        <w:rPr>
          <w:rFonts w:ascii="IRBadr" w:hAnsi="IRBadr" w:cs="IRBadr"/>
          <w:b/>
          <w:bCs/>
          <w:color w:val="000000" w:themeColor="text1"/>
          <w:rtl/>
        </w:rPr>
        <w:t>ی</w:t>
      </w:r>
      <w:r w:rsidRPr="00375EAE">
        <w:rPr>
          <w:rFonts w:ascii="IRBadr" w:hAnsi="IRBadr" w:cs="IRBadr"/>
          <w:b/>
          <w:bCs/>
          <w:color w:val="000000" w:themeColor="text1"/>
          <w:rtl/>
        </w:rPr>
        <w:t>ر الوس</w:t>
      </w:r>
      <w:r w:rsidR="00304087" w:rsidRPr="00375EAE">
        <w:rPr>
          <w:rFonts w:ascii="IRBadr" w:hAnsi="IRBadr" w:cs="IRBadr"/>
          <w:b/>
          <w:bCs/>
          <w:color w:val="000000" w:themeColor="text1"/>
          <w:rtl/>
        </w:rPr>
        <w:t>ی</w:t>
      </w:r>
      <w:r w:rsidRPr="00375EAE">
        <w:rPr>
          <w:rFonts w:ascii="IRBadr" w:hAnsi="IRBadr" w:cs="IRBadr"/>
          <w:b/>
          <w:bCs/>
          <w:color w:val="000000" w:themeColor="text1"/>
          <w:rtl/>
        </w:rPr>
        <w:t>لة - الحدود؛ ص: 412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DD" w:rsidRDefault="00B31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3275F0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CC36A8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8" w:name="OLE_LINK1"/>
    <w:bookmarkStart w:id="9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275F0">
      <w:rPr>
        <w:rFonts w:ascii="IranNastaliq" w:hAnsi="IranNastaliq" w:cs="IranNastaliq" w:hint="cs"/>
        <w:sz w:val="40"/>
        <w:szCs w:val="40"/>
        <w:rtl/>
        <w:lang w:bidi="fa-IR"/>
      </w:rPr>
      <w:t>825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DD" w:rsidRDefault="00B31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576C"/>
    <w:rsid w:val="00166DD8"/>
    <w:rsid w:val="001712D6"/>
    <w:rsid w:val="001728D7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04087"/>
    <w:rsid w:val="003275F0"/>
    <w:rsid w:val="00340BA3"/>
    <w:rsid w:val="00366400"/>
    <w:rsid w:val="00375EAE"/>
    <w:rsid w:val="003963D7"/>
    <w:rsid w:val="00396F28"/>
    <w:rsid w:val="003A1A05"/>
    <w:rsid w:val="003A2654"/>
    <w:rsid w:val="003B4C26"/>
    <w:rsid w:val="003C06BF"/>
    <w:rsid w:val="003C7899"/>
    <w:rsid w:val="003D2F0A"/>
    <w:rsid w:val="003D563F"/>
    <w:rsid w:val="003E1E58"/>
    <w:rsid w:val="003F1AED"/>
    <w:rsid w:val="00405199"/>
    <w:rsid w:val="00410699"/>
    <w:rsid w:val="00415360"/>
    <w:rsid w:val="0044591E"/>
    <w:rsid w:val="004651D2"/>
    <w:rsid w:val="00465D26"/>
    <w:rsid w:val="004679F8"/>
    <w:rsid w:val="00494DC0"/>
    <w:rsid w:val="00496073"/>
    <w:rsid w:val="004B337F"/>
    <w:rsid w:val="004F3596"/>
    <w:rsid w:val="004F56BA"/>
    <w:rsid w:val="00525005"/>
    <w:rsid w:val="00572E2D"/>
    <w:rsid w:val="00592103"/>
    <w:rsid w:val="005941DD"/>
    <w:rsid w:val="005A545E"/>
    <w:rsid w:val="005A5862"/>
    <w:rsid w:val="005B0852"/>
    <w:rsid w:val="005C06AE"/>
    <w:rsid w:val="005C0D0A"/>
    <w:rsid w:val="00610C18"/>
    <w:rsid w:val="00612385"/>
    <w:rsid w:val="0061376C"/>
    <w:rsid w:val="00636EFA"/>
    <w:rsid w:val="0066229C"/>
    <w:rsid w:val="00675B32"/>
    <w:rsid w:val="0069696C"/>
    <w:rsid w:val="006A085A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7C21"/>
    <w:rsid w:val="008644F4"/>
    <w:rsid w:val="0087093D"/>
    <w:rsid w:val="00883733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401AC"/>
    <w:rsid w:val="009515C3"/>
    <w:rsid w:val="009613AC"/>
    <w:rsid w:val="00980643"/>
    <w:rsid w:val="009B46BC"/>
    <w:rsid w:val="009B61C3"/>
    <w:rsid w:val="009C7B4F"/>
    <w:rsid w:val="009F4EB3"/>
    <w:rsid w:val="009F7E77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15027"/>
    <w:rsid w:val="00B21CF4"/>
    <w:rsid w:val="00B24300"/>
    <w:rsid w:val="00B31802"/>
    <w:rsid w:val="00B31EDD"/>
    <w:rsid w:val="00B63F15"/>
    <w:rsid w:val="00BB5F7E"/>
    <w:rsid w:val="00BC26F6"/>
    <w:rsid w:val="00BC4833"/>
    <w:rsid w:val="00BD3122"/>
    <w:rsid w:val="00BD40DA"/>
    <w:rsid w:val="00BF3D67"/>
    <w:rsid w:val="00C01A20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1390"/>
    <w:rsid w:val="00D66444"/>
    <w:rsid w:val="00D76353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E0639C"/>
    <w:rsid w:val="00E067E6"/>
    <w:rsid w:val="00E12531"/>
    <w:rsid w:val="00E143B0"/>
    <w:rsid w:val="00E42EC7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394D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5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5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45C0-B2AE-42CF-80FA-0CF81B44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5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3</cp:revision>
  <dcterms:created xsi:type="dcterms:W3CDTF">2015-08-25T22:42:00Z</dcterms:created>
  <dcterms:modified xsi:type="dcterms:W3CDTF">2015-08-17T04:09:00Z</dcterms:modified>
</cp:coreProperties>
</file>