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AB" w:rsidRPr="00C47461" w:rsidRDefault="0032310C" w:rsidP="00C4746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C47461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9722AB" w:rsidRPr="00C4746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9722AB" w:rsidRPr="00C47461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</w:p>
    <w:p w:rsidR="00BE430C" w:rsidRPr="00C47461" w:rsidRDefault="00BE430C" w:rsidP="00C4746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 :</w:t>
      </w:r>
    </w:p>
    <w:p w:rsidR="00BE430C" w:rsidRPr="00C47461" w:rsidRDefault="00BE430C" w:rsidP="00C4746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C47461">
        <w:rPr>
          <w:rFonts w:ascii="IRBadr" w:hAnsi="IRBadr" w:cs="IRBadr"/>
          <w:b/>
          <w:bCs/>
          <w:sz w:val="28"/>
          <w:rtl/>
        </w:rPr>
        <w:fldChar w:fldCharType="begin"/>
      </w:r>
      <w:r w:rsidRPr="00C47461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C47461">
        <w:rPr>
          <w:rFonts w:ascii="IRBadr" w:hAnsi="IRBadr" w:cs="IRBadr"/>
          <w:b/>
          <w:bCs/>
          <w:sz w:val="28"/>
        </w:rPr>
        <w:instrText>TOC</w:instrText>
      </w:r>
      <w:r w:rsidRPr="00C47461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C47461">
        <w:rPr>
          <w:rFonts w:ascii="IRBadr" w:hAnsi="IRBadr" w:cs="IRBadr"/>
          <w:b/>
          <w:bCs/>
          <w:sz w:val="28"/>
        </w:rPr>
        <w:instrText>o "</w:instrText>
      </w:r>
      <w:r w:rsidRPr="00C47461">
        <w:rPr>
          <w:rFonts w:ascii="IRBadr" w:hAnsi="IRBadr" w:cs="IRBadr"/>
          <w:b/>
          <w:bCs/>
          <w:sz w:val="28"/>
          <w:rtl/>
        </w:rPr>
        <w:instrText>1-4</w:instrText>
      </w:r>
      <w:r w:rsidRPr="00C47461">
        <w:rPr>
          <w:rFonts w:ascii="IRBadr" w:hAnsi="IRBadr" w:cs="IRBadr"/>
          <w:b/>
          <w:bCs/>
          <w:sz w:val="28"/>
        </w:rPr>
        <w:instrText>" \h \z \u</w:instrText>
      </w:r>
      <w:r w:rsidRPr="00C47461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C47461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8281135" w:history="1">
        <w:r w:rsidRPr="00C47461">
          <w:rPr>
            <w:rStyle w:val="Hyperlink"/>
            <w:rFonts w:ascii="IRBadr" w:hAnsi="IRBadr" w:cs="IRBadr"/>
            <w:noProof/>
            <w:rtl/>
          </w:rPr>
          <w:t>حکم سحر</w:t>
        </w:r>
        <w:r w:rsidRPr="00C47461">
          <w:rPr>
            <w:rFonts w:ascii="IRBadr" w:hAnsi="IRBadr" w:cs="IRBadr"/>
            <w:noProof/>
            <w:webHidden/>
          </w:rPr>
          <w:tab/>
        </w:r>
        <w:r w:rsidRPr="00C4746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C47461">
          <w:rPr>
            <w:rFonts w:ascii="IRBadr" w:hAnsi="IRBadr" w:cs="IRBadr"/>
            <w:noProof/>
            <w:webHidden/>
          </w:rPr>
          <w:instrText xml:space="preserve"> PAGEREF _Toc428281135 \h </w:instrText>
        </w:r>
        <w:r w:rsidRPr="00C47461">
          <w:rPr>
            <w:rStyle w:val="Hyperlink"/>
            <w:rFonts w:ascii="IRBadr" w:hAnsi="IRBadr" w:cs="IRBadr"/>
            <w:noProof/>
            <w:rtl/>
          </w:rPr>
        </w:r>
        <w:r w:rsidRPr="00C4746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C47461">
          <w:rPr>
            <w:rFonts w:ascii="IRBadr" w:hAnsi="IRBadr" w:cs="IRBadr"/>
            <w:noProof/>
            <w:webHidden/>
          </w:rPr>
          <w:t>1</w:t>
        </w:r>
        <w:r w:rsidRPr="00C4746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430C" w:rsidRPr="00C47461" w:rsidRDefault="00EE442C" w:rsidP="00C47461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136" w:history="1">
        <w:r w:rsidR="00BE430C" w:rsidRPr="00C47461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BE430C" w:rsidRPr="00C47461">
          <w:rPr>
            <w:rFonts w:ascii="IRBadr" w:hAnsi="IRBadr" w:cs="IRBadr"/>
            <w:noProof/>
            <w:webHidden/>
          </w:rPr>
          <w:tab/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430C" w:rsidRPr="00C47461">
          <w:rPr>
            <w:rFonts w:ascii="IRBadr" w:hAnsi="IRBadr" w:cs="IRBadr"/>
            <w:noProof/>
            <w:webHidden/>
          </w:rPr>
          <w:instrText xml:space="preserve"> PAGEREF _Toc428281136 \h </w:instrText>
        </w:r>
        <w:r w:rsidR="00BE430C" w:rsidRPr="00C47461">
          <w:rPr>
            <w:rStyle w:val="Hyperlink"/>
            <w:rFonts w:ascii="IRBadr" w:hAnsi="IRBadr" w:cs="IRBadr"/>
            <w:noProof/>
            <w:rtl/>
          </w:rPr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430C" w:rsidRPr="00C47461">
          <w:rPr>
            <w:rFonts w:ascii="IRBadr" w:hAnsi="IRBadr" w:cs="IRBadr"/>
            <w:noProof/>
            <w:webHidden/>
          </w:rPr>
          <w:t>1</w:t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430C" w:rsidRPr="00C47461" w:rsidRDefault="00EE442C" w:rsidP="00C4746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137" w:history="1">
        <w:r w:rsidR="00BE430C" w:rsidRPr="00C47461">
          <w:rPr>
            <w:rStyle w:val="Hyperlink"/>
            <w:rFonts w:ascii="IRBadr" w:hAnsi="IRBadr" w:cs="IRBadr"/>
            <w:noProof/>
            <w:rtl/>
          </w:rPr>
          <w:t>مقدمه حرام</w:t>
        </w:r>
        <w:r w:rsidR="00BE430C" w:rsidRPr="00C47461">
          <w:rPr>
            <w:rFonts w:ascii="IRBadr" w:hAnsi="IRBadr" w:cs="IRBadr"/>
            <w:noProof/>
            <w:webHidden/>
          </w:rPr>
          <w:tab/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430C" w:rsidRPr="00C47461">
          <w:rPr>
            <w:rFonts w:ascii="IRBadr" w:hAnsi="IRBadr" w:cs="IRBadr"/>
            <w:noProof/>
            <w:webHidden/>
          </w:rPr>
          <w:instrText xml:space="preserve"> PAGEREF _Toc428281137 \h </w:instrText>
        </w:r>
        <w:r w:rsidR="00BE430C" w:rsidRPr="00C47461">
          <w:rPr>
            <w:rStyle w:val="Hyperlink"/>
            <w:rFonts w:ascii="IRBadr" w:hAnsi="IRBadr" w:cs="IRBadr"/>
            <w:noProof/>
            <w:rtl/>
          </w:rPr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430C" w:rsidRPr="00C47461">
          <w:rPr>
            <w:rFonts w:ascii="IRBadr" w:hAnsi="IRBadr" w:cs="IRBadr"/>
            <w:noProof/>
            <w:webHidden/>
          </w:rPr>
          <w:t>2</w:t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430C" w:rsidRPr="00C47461" w:rsidRDefault="00EE442C" w:rsidP="00C4746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138" w:history="1">
        <w:r w:rsidR="00BE430C" w:rsidRPr="00C47461">
          <w:rPr>
            <w:rStyle w:val="Hyperlink"/>
            <w:rFonts w:ascii="IRBadr" w:hAnsi="IRBadr" w:cs="IRBadr"/>
            <w:noProof/>
            <w:rtl/>
          </w:rPr>
          <w:t>وجه دوم حرمت تعلم سحر</w:t>
        </w:r>
        <w:r w:rsidR="00BE430C" w:rsidRPr="00C47461">
          <w:rPr>
            <w:rFonts w:ascii="IRBadr" w:hAnsi="IRBadr" w:cs="IRBadr"/>
            <w:noProof/>
            <w:webHidden/>
          </w:rPr>
          <w:tab/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430C" w:rsidRPr="00C47461">
          <w:rPr>
            <w:rFonts w:ascii="IRBadr" w:hAnsi="IRBadr" w:cs="IRBadr"/>
            <w:noProof/>
            <w:webHidden/>
          </w:rPr>
          <w:instrText xml:space="preserve"> PAGEREF _Toc428281138 \h </w:instrText>
        </w:r>
        <w:r w:rsidR="00BE430C" w:rsidRPr="00C47461">
          <w:rPr>
            <w:rStyle w:val="Hyperlink"/>
            <w:rFonts w:ascii="IRBadr" w:hAnsi="IRBadr" w:cs="IRBadr"/>
            <w:noProof/>
            <w:rtl/>
          </w:rPr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430C" w:rsidRPr="00C47461">
          <w:rPr>
            <w:rFonts w:ascii="IRBadr" w:hAnsi="IRBadr" w:cs="IRBadr"/>
            <w:noProof/>
            <w:webHidden/>
          </w:rPr>
          <w:t>2</w:t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430C" w:rsidRPr="00C47461" w:rsidRDefault="00EE442C" w:rsidP="00C4746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139" w:history="1">
        <w:r w:rsidR="00BE430C" w:rsidRPr="00C47461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BE430C" w:rsidRPr="00C47461">
          <w:rPr>
            <w:rFonts w:ascii="IRBadr" w:hAnsi="IRBadr" w:cs="IRBadr"/>
            <w:noProof/>
            <w:webHidden/>
          </w:rPr>
          <w:tab/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430C" w:rsidRPr="00C47461">
          <w:rPr>
            <w:rFonts w:ascii="IRBadr" w:hAnsi="IRBadr" w:cs="IRBadr"/>
            <w:noProof/>
            <w:webHidden/>
          </w:rPr>
          <w:instrText xml:space="preserve"> PAGEREF _Toc428281139 \h </w:instrText>
        </w:r>
        <w:r w:rsidR="00BE430C" w:rsidRPr="00C47461">
          <w:rPr>
            <w:rStyle w:val="Hyperlink"/>
            <w:rFonts w:ascii="IRBadr" w:hAnsi="IRBadr" w:cs="IRBadr"/>
            <w:noProof/>
            <w:rtl/>
          </w:rPr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430C" w:rsidRPr="00C47461">
          <w:rPr>
            <w:rFonts w:ascii="IRBadr" w:hAnsi="IRBadr" w:cs="IRBadr"/>
            <w:noProof/>
            <w:webHidden/>
          </w:rPr>
          <w:t>2</w:t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430C" w:rsidRPr="00C47461" w:rsidRDefault="00EE442C" w:rsidP="00C4746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140" w:history="1">
        <w:r w:rsidR="00BE430C" w:rsidRPr="00C47461">
          <w:rPr>
            <w:rStyle w:val="Hyperlink"/>
            <w:rFonts w:ascii="IRBadr" w:hAnsi="IRBadr" w:cs="IRBadr"/>
            <w:noProof/>
            <w:rtl/>
          </w:rPr>
          <w:t>ادله بر حرمت تعلیم سحر</w:t>
        </w:r>
        <w:r w:rsidR="00BE430C" w:rsidRPr="00C47461">
          <w:rPr>
            <w:rFonts w:ascii="IRBadr" w:hAnsi="IRBadr" w:cs="IRBadr"/>
            <w:noProof/>
            <w:webHidden/>
          </w:rPr>
          <w:tab/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430C" w:rsidRPr="00C47461">
          <w:rPr>
            <w:rFonts w:ascii="IRBadr" w:hAnsi="IRBadr" w:cs="IRBadr"/>
            <w:noProof/>
            <w:webHidden/>
          </w:rPr>
          <w:instrText xml:space="preserve"> PAGEREF _Toc428281140 \h </w:instrText>
        </w:r>
        <w:r w:rsidR="00BE430C" w:rsidRPr="00C47461">
          <w:rPr>
            <w:rStyle w:val="Hyperlink"/>
            <w:rFonts w:ascii="IRBadr" w:hAnsi="IRBadr" w:cs="IRBadr"/>
            <w:noProof/>
            <w:rtl/>
          </w:rPr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430C" w:rsidRPr="00C47461">
          <w:rPr>
            <w:rFonts w:ascii="IRBadr" w:hAnsi="IRBadr" w:cs="IRBadr"/>
            <w:noProof/>
            <w:webHidden/>
          </w:rPr>
          <w:t>2</w:t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430C" w:rsidRPr="00C47461" w:rsidRDefault="00EE442C" w:rsidP="00C4746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141" w:history="1">
        <w:r w:rsidR="00BE430C" w:rsidRPr="00C47461">
          <w:rPr>
            <w:rStyle w:val="Hyperlink"/>
            <w:rFonts w:ascii="IRBadr" w:hAnsi="IRBadr" w:cs="IRBadr"/>
            <w:noProof/>
            <w:rtl/>
          </w:rPr>
          <w:t>دلیل اول</w:t>
        </w:r>
        <w:r w:rsidR="00BE430C" w:rsidRPr="00C47461">
          <w:rPr>
            <w:rFonts w:ascii="IRBadr" w:hAnsi="IRBadr" w:cs="IRBadr"/>
            <w:noProof/>
            <w:webHidden/>
          </w:rPr>
          <w:tab/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430C" w:rsidRPr="00C47461">
          <w:rPr>
            <w:rFonts w:ascii="IRBadr" w:hAnsi="IRBadr" w:cs="IRBadr"/>
            <w:noProof/>
            <w:webHidden/>
          </w:rPr>
          <w:instrText xml:space="preserve"> PAGEREF _Toc428281141 \h </w:instrText>
        </w:r>
        <w:r w:rsidR="00BE430C" w:rsidRPr="00C47461">
          <w:rPr>
            <w:rStyle w:val="Hyperlink"/>
            <w:rFonts w:ascii="IRBadr" w:hAnsi="IRBadr" w:cs="IRBadr"/>
            <w:noProof/>
            <w:rtl/>
          </w:rPr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430C" w:rsidRPr="00C47461">
          <w:rPr>
            <w:rFonts w:ascii="IRBadr" w:hAnsi="IRBadr" w:cs="IRBadr"/>
            <w:noProof/>
            <w:webHidden/>
          </w:rPr>
          <w:t>3</w:t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430C" w:rsidRPr="00C47461" w:rsidRDefault="00EE442C" w:rsidP="00C47461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1142" w:history="1">
        <w:r w:rsidR="00BE430C" w:rsidRPr="00C47461">
          <w:rPr>
            <w:rStyle w:val="Hyperlink"/>
            <w:rFonts w:ascii="IRBadr" w:hAnsi="IRBadr" w:cs="IRBadr"/>
            <w:noProof/>
            <w:rtl/>
          </w:rPr>
          <w:t>دلیل دوم</w:t>
        </w:r>
        <w:r w:rsidR="00BE430C" w:rsidRPr="00C47461">
          <w:rPr>
            <w:rFonts w:ascii="IRBadr" w:hAnsi="IRBadr" w:cs="IRBadr"/>
            <w:noProof/>
            <w:webHidden/>
          </w:rPr>
          <w:tab/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430C" w:rsidRPr="00C47461">
          <w:rPr>
            <w:rFonts w:ascii="IRBadr" w:hAnsi="IRBadr" w:cs="IRBadr"/>
            <w:noProof/>
            <w:webHidden/>
          </w:rPr>
          <w:instrText xml:space="preserve"> PAGEREF _Toc428281142 \h </w:instrText>
        </w:r>
        <w:r w:rsidR="00BE430C" w:rsidRPr="00C47461">
          <w:rPr>
            <w:rStyle w:val="Hyperlink"/>
            <w:rFonts w:ascii="IRBadr" w:hAnsi="IRBadr" w:cs="IRBadr"/>
            <w:noProof/>
            <w:rtl/>
          </w:rPr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430C" w:rsidRPr="00C47461">
          <w:rPr>
            <w:rFonts w:ascii="IRBadr" w:hAnsi="IRBadr" w:cs="IRBadr"/>
            <w:noProof/>
            <w:webHidden/>
          </w:rPr>
          <w:t>3</w:t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430C" w:rsidRPr="00C47461" w:rsidRDefault="00EE442C" w:rsidP="00C47461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1143" w:history="1">
        <w:r w:rsidR="00BE430C" w:rsidRPr="00C47461">
          <w:rPr>
            <w:rStyle w:val="Hyperlink"/>
            <w:rFonts w:ascii="IRBadr" w:hAnsi="IRBadr" w:cs="IRBadr"/>
            <w:noProof/>
            <w:rtl/>
          </w:rPr>
          <w:t>مسقطیت توبه</w:t>
        </w:r>
        <w:r w:rsidR="00BE430C" w:rsidRPr="00C47461">
          <w:rPr>
            <w:rFonts w:ascii="IRBadr" w:hAnsi="IRBadr" w:cs="IRBadr"/>
            <w:noProof/>
            <w:webHidden/>
          </w:rPr>
          <w:tab/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430C" w:rsidRPr="00C47461">
          <w:rPr>
            <w:rFonts w:ascii="IRBadr" w:hAnsi="IRBadr" w:cs="IRBadr"/>
            <w:noProof/>
            <w:webHidden/>
          </w:rPr>
          <w:instrText xml:space="preserve"> PAGEREF _Toc428281143 \h </w:instrText>
        </w:r>
        <w:r w:rsidR="00BE430C" w:rsidRPr="00C47461">
          <w:rPr>
            <w:rStyle w:val="Hyperlink"/>
            <w:rFonts w:ascii="IRBadr" w:hAnsi="IRBadr" w:cs="IRBadr"/>
            <w:noProof/>
            <w:rtl/>
          </w:rPr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430C" w:rsidRPr="00C47461">
          <w:rPr>
            <w:rFonts w:ascii="IRBadr" w:hAnsi="IRBadr" w:cs="IRBadr"/>
            <w:noProof/>
            <w:webHidden/>
          </w:rPr>
          <w:t>4</w:t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430C" w:rsidRPr="00C47461" w:rsidRDefault="00EE442C" w:rsidP="00C47461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1144" w:history="1">
        <w:r w:rsidR="00BE430C" w:rsidRPr="00C47461">
          <w:rPr>
            <w:rStyle w:val="Hyperlink"/>
            <w:rFonts w:ascii="IRBadr" w:hAnsi="IRBadr" w:cs="IRBadr"/>
            <w:noProof/>
            <w:rtl/>
          </w:rPr>
          <w:t>سحر جایز</w:t>
        </w:r>
        <w:r w:rsidR="00BE430C" w:rsidRPr="00C47461">
          <w:rPr>
            <w:rFonts w:ascii="IRBadr" w:hAnsi="IRBadr" w:cs="IRBadr"/>
            <w:noProof/>
            <w:webHidden/>
          </w:rPr>
          <w:tab/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430C" w:rsidRPr="00C47461">
          <w:rPr>
            <w:rFonts w:ascii="IRBadr" w:hAnsi="IRBadr" w:cs="IRBadr"/>
            <w:noProof/>
            <w:webHidden/>
          </w:rPr>
          <w:instrText xml:space="preserve"> PAGEREF _Toc428281144 \h </w:instrText>
        </w:r>
        <w:r w:rsidR="00BE430C" w:rsidRPr="00C47461">
          <w:rPr>
            <w:rStyle w:val="Hyperlink"/>
            <w:rFonts w:ascii="IRBadr" w:hAnsi="IRBadr" w:cs="IRBadr"/>
            <w:noProof/>
            <w:rtl/>
          </w:rPr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430C" w:rsidRPr="00C47461">
          <w:rPr>
            <w:rFonts w:ascii="IRBadr" w:hAnsi="IRBadr" w:cs="IRBadr"/>
            <w:noProof/>
            <w:webHidden/>
          </w:rPr>
          <w:t>4</w:t>
        </w:r>
        <w:r w:rsidR="00BE430C" w:rsidRPr="00C4746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430C" w:rsidRPr="00C47461" w:rsidRDefault="00BE430C" w:rsidP="00C4746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BE430C" w:rsidRPr="00C47461" w:rsidRDefault="00BE430C" w:rsidP="00C47461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C47461">
        <w:rPr>
          <w:rFonts w:ascii="IRBadr" w:hAnsi="IRBadr" w:cs="IRBadr"/>
          <w:b/>
          <w:bCs/>
          <w:sz w:val="28"/>
          <w:szCs w:val="28"/>
          <w:rtl/>
          <w:lang w:bidi="fa-IR"/>
        </w:rPr>
        <w:br w:type="page"/>
      </w:r>
    </w:p>
    <w:p w:rsidR="00BE430C" w:rsidRPr="00C47461" w:rsidRDefault="00BE430C" w:rsidP="00C4746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p w:rsidR="009722AB" w:rsidRPr="00C47461" w:rsidRDefault="009722AB" w:rsidP="00C47461">
      <w:pPr>
        <w:pStyle w:val="Heading1"/>
        <w:rPr>
          <w:rFonts w:ascii="IRBadr" w:hAnsi="IRBadr" w:cs="IRBadr"/>
          <w:rtl/>
        </w:rPr>
      </w:pPr>
      <w:bookmarkStart w:id="1" w:name="_Toc428281135"/>
      <w:r w:rsidRPr="00C47461">
        <w:rPr>
          <w:rFonts w:ascii="IRBadr" w:hAnsi="IRBadr" w:cs="IRBadr"/>
          <w:rtl/>
        </w:rPr>
        <w:t>حکم سحر</w:t>
      </w:r>
      <w:bookmarkEnd w:id="1"/>
    </w:p>
    <w:p w:rsidR="009722AB" w:rsidRPr="00C47461" w:rsidRDefault="009722AB" w:rsidP="00C47461">
      <w:pPr>
        <w:pStyle w:val="Heading1"/>
        <w:rPr>
          <w:rFonts w:ascii="IRBadr" w:hAnsi="IRBadr" w:cs="IRBadr"/>
          <w:rtl/>
        </w:rPr>
      </w:pPr>
      <w:bookmarkStart w:id="2" w:name="_Toc428281136"/>
      <w:r w:rsidRPr="00C47461">
        <w:rPr>
          <w:rFonts w:ascii="IRBadr" w:hAnsi="IRBadr" w:cs="IRBadr"/>
          <w:rtl/>
        </w:rPr>
        <w:t>مرور بحث سابق</w:t>
      </w:r>
      <w:bookmarkEnd w:id="2"/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>در جلسه گذشته اشاره شد که سحر حرام است،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تکلیفی تعلم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قرار گرفت،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شد که صرف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فراگرفتن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امری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جایز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است مگر اینکه عنوان محرمی منضم آن شود.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سحر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>مقوله‌هایی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است که یادگیری آن نیازمند تعلم است،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در اینجا این سؤال پیش 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که آیا حرمت امر حرام به تعلم آن نیز سرایت پیدا 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9722AB" w:rsidRPr="00C47461" w:rsidRDefault="009722AB" w:rsidP="00C47461">
      <w:pPr>
        <w:pStyle w:val="Heading2"/>
        <w:rPr>
          <w:rFonts w:ascii="IRBadr" w:hAnsi="IRBadr" w:cs="IRBadr"/>
          <w:rtl/>
        </w:rPr>
      </w:pPr>
      <w:bookmarkStart w:id="3" w:name="_Toc428281137"/>
      <w:r w:rsidRPr="00C47461">
        <w:rPr>
          <w:rFonts w:ascii="IRBadr" w:hAnsi="IRBadr" w:cs="IRBadr"/>
          <w:rtl/>
        </w:rPr>
        <w:t>مقدمه حرام</w:t>
      </w:r>
      <w:bookmarkEnd w:id="3"/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ممکن است برای برخی توهم شود که چون امور محرمه </w:t>
      </w:r>
      <w:r w:rsidR="006D060E">
        <w:rPr>
          <w:rFonts w:ascii="IRBadr" w:hAnsi="IRBadr" w:cs="IRBadr"/>
          <w:sz w:val="28"/>
          <w:szCs w:val="28"/>
          <w:rtl/>
          <w:lang w:bidi="fa-IR"/>
        </w:rPr>
        <w:t>متوقف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به تعلم است،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تعلم 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نیز حرام خواهد بود،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وجهی است که اشکال آن روشن است چراکه مقدمه </w:t>
      </w:r>
      <w:r w:rsidR="00BE430C" w:rsidRPr="00C47461">
        <w:rPr>
          <w:rFonts w:ascii="IRBadr" w:hAnsi="IRBadr" w:cs="IRBadr"/>
          <w:sz w:val="28"/>
          <w:szCs w:val="28"/>
          <w:rtl/>
          <w:lang w:bidi="fa-IR"/>
        </w:rPr>
        <w:t>حرام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نیست. الا در موارد خاص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>که مقدمه تولیدی باشد که اگر کسی انجام داد، دیگر نمی‌تواند ذی المقدمه را انجام ندهد. در آنجا حرام است، والا ذاتاً مقدمه حرام،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حرام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به خلاف بحث مقدمه واجب که محل اختلاف است که آیا مقدمه واجب، واجب است یا نیست؟ در مقدمه حرام تقریباً وفاق است یا عمدتاً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حرام نیست مگر اینکه با انجام مقدمه دیگر الزاماً سحر محقق شود.</w:t>
      </w:r>
    </w:p>
    <w:p w:rsidR="009722AB" w:rsidRPr="00C47461" w:rsidRDefault="009722AB" w:rsidP="00C47461">
      <w:pPr>
        <w:pStyle w:val="Heading2"/>
        <w:rPr>
          <w:rFonts w:ascii="IRBadr" w:hAnsi="IRBadr" w:cs="IRBadr"/>
          <w:rtl/>
        </w:rPr>
      </w:pPr>
      <w:bookmarkStart w:id="4" w:name="_Toc428281138"/>
      <w:r w:rsidRPr="00C47461">
        <w:rPr>
          <w:rFonts w:ascii="IRBadr" w:hAnsi="IRBadr" w:cs="IRBadr"/>
          <w:rtl/>
        </w:rPr>
        <w:t>وجه دوم حرمت تعلم سحر</w:t>
      </w:r>
      <w:bookmarkEnd w:id="4"/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وجه دیگری که برای این حرمت ذکر 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این است که در اینجا مانند بحث زنا،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یادگیری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متوقف بر انجام است.</w:t>
      </w:r>
    </w:p>
    <w:p w:rsidR="009722AB" w:rsidRPr="00C47461" w:rsidRDefault="009722AB" w:rsidP="00C47461">
      <w:pPr>
        <w:pStyle w:val="Heading2"/>
        <w:rPr>
          <w:rFonts w:ascii="IRBadr" w:hAnsi="IRBadr" w:cs="IRBadr"/>
          <w:rtl/>
        </w:rPr>
      </w:pPr>
      <w:bookmarkStart w:id="5" w:name="_Toc428281139"/>
      <w:r w:rsidRPr="00C47461">
        <w:rPr>
          <w:rFonts w:ascii="IRBadr" w:hAnsi="IRBadr" w:cs="IRBadr"/>
          <w:rtl/>
        </w:rPr>
        <w:t>اتخاذ مبنا</w:t>
      </w:r>
      <w:bookmarkEnd w:id="5"/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جواب این نیز مطرح شد که اگر </w:t>
      </w:r>
      <w:r w:rsidR="006D060E">
        <w:rPr>
          <w:rFonts w:ascii="IRBadr" w:hAnsi="IRBadr" w:cs="IRBadr"/>
          <w:sz w:val="28"/>
          <w:szCs w:val="28"/>
          <w:rtl/>
          <w:lang w:bidi="fa-IR"/>
        </w:rPr>
        <w:t>متوقف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بر انجام حرام باشد،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حرمت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پیدا 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وجوه دیگری را در جای خودش ذکر کردند که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دلالت نمی‌کند تعلم علم، فن، مهارت یا عمل حرام، حرام است.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ادله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دیگری نیز در مکاسب و تحف العقول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که همگی 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جواب دارد.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در تعلیم حرام حرمتی وجود ندارد گرچه کراهتش را قبول کردیم.</w:t>
      </w:r>
    </w:p>
    <w:p w:rsidR="009722AB" w:rsidRPr="00C47461" w:rsidRDefault="009722AB" w:rsidP="00C47461">
      <w:pPr>
        <w:pStyle w:val="Heading2"/>
        <w:rPr>
          <w:rFonts w:ascii="IRBadr" w:hAnsi="IRBadr" w:cs="IRBadr"/>
          <w:rtl/>
        </w:rPr>
      </w:pPr>
      <w:bookmarkStart w:id="6" w:name="_Toc428281140"/>
      <w:r w:rsidRPr="00C47461">
        <w:rPr>
          <w:rFonts w:ascii="IRBadr" w:hAnsi="IRBadr" w:cs="IRBadr"/>
          <w:rtl/>
        </w:rPr>
        <w:lastRenderedPageBreak/>
        <w:t>ادله بر حرمت تعلیم سحر</w:t>
      </w:r>
      <w:bookmarkEnd w:id="6"/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امر سوم این است که در موارد خاص اگر دلیلی بر این حرمت داشته باشیم 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>می‌پذیریم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مانند همین بحث.</w:t>
      </w:r>
    </w:p>
    <w:p w:rsidR="009722AB" w:rsidRPr="00C47461" w:rsidRDefault="009722AB" w:rsidP="00C47461">
      <w:pPr>
        <w:pStyle w:val="Heading2"/>
        <w:rPr>
          <w:rFonts w:ascii="IRBadr" w:hAnsi="IRBadr" w:cs="IRBadr"/>
          <w:rtl/>
        </w:rPr>
      </w:pPr>
      <w:bookmarkStart w:id="7" w:name="_Toc428281141"/>
      <w:r w:rsidRPr="00C47461">
        <w:rPr>
          <w:rFonts w:ascii="IRBadr" w:hAnsi="IRBadr" w:cs="IRBadr"/>
          <w:rtl/>
        </w:rPr>
        <w:t>دلیل اول</w:t>
      </w:r>
      <w:bookmarkEnd w:id="7"/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>یک دلیل در جلد هیجده، ابواب حدود، باب سه، حدیث دوم است که ظاهراً روایتی معتبر باشد؛</w:t>
      </w:r>
    </w:p>
    <w:p w:rsidR="009722AB" w:rsidRPr="00C47461" w:rsidRDefault="009722AB" w:rsidP="00C4746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«وَ عَنْهُ عَنِ الْحَسَنِ بْنِ مُوسَ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الْخَشَّابِ عَنْ غِ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اثِ بْنِ 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لُّوبِ بْنِ قَ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سٍ الْبَجَلِ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إِسْحَاقَ بْنِ عَمَّارٍ عَنْ جَعْفَرٍ عَنْ أَبِ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أَنَّ عَلِ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اً ع 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قُولُ مَنْ تَعَلَّمَ شَ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ئاً مِنَ السِّحْرِ 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آخِرَ عَهْدِهِ بِرَبِّهِ- وَ حَدُّهُ الْقَتْلُ إِلَّا أَنْ 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تُوبَ الْحَدِ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ثَ.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کسی که سحر را یاد بگیرد آخرین اتصال و ارتباط و عهد و ولایتش </w:t>
      </w:r>
      <w:r w:rsidR="00BE430C" w:rsidRPr="00C47461">
        <w:rPr>
          <w:rFonts w:ascii="IRBadr" w:hAnsi="IRBadr" w:cs="IRBadr"/>
          <w:sz w:val="28"/>
          <w:szCs w:val="28"/>
          <w:rtl/>
          <w:lang w:bidi="fa-IR"/>
        </w:rPr>
        <w:t>باخداست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. یعنی با فراگیری سحر، ولایتش </w:t>
      </w:r>
      <w:r w:rsidR="00BE430C" w:rsidRPr="00C47461">
        <w:rPr>
          <w:rFonts w:ascii="IRBadr" w:hAnsi="IRBadr" w:cs="IRBadr"/>
          <w:sz w:val="28"/>
          <w:szCs w:val="28"/>
          <w:rtl/>
          <w:lang w:bidi="fa-IR"/>
        </w:rPr>
        <w:t>باخدا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قطع می‌شود.</w:t>
      </w:r>
    </w:p>
    <w:p w:rsidR="009722AB" w:rsidRPr="00C47461" w:rsidRDefault="009722AB" w:rsidP="00C47461">
      <w:pPr>
        <w:pStyle w:val="Heading2"/>
        <w:rPr>
          <w:rFonts w:ascii="IRBadr" w:hAnsi="IRBadr" w:cs="IRBadr"/>
          <w:rtl/>
        </w:rPr>
      </w:pPr>
      <w:bookmarkStart w:id="8" w:name="_Toc428281142"/>
      <w:r w:rsidRPr="00C47461">
        <w:rPr>
          <w:rFonts w:ascii="IRBadr" w:hAnsi="IRBadr" w:cs="IRBadr"/>
          <w:rtl/>
        </w:rPr>
        <w:t>دلیل</w:t>
      </w:r>
      <w:r w:rsidR="00A6281D" w:rsidRPr="00C47461">
        <w:rPr>
          <w:rStyle w:val="Heading2Char"/>
          <w:rFonts w:ascii="IRBadr" w:hAnsi="IRBadr" w:cs="IRBadr"/>
          <w:rtl/>
        </w:rPr>
        <w:t xml:space="preserve"> </w:t>
      </w:r>
      <w:r w:rsidRPr="00C47461">
        <w:rPr>
          <w:rFonts w:ascii="IRBadr" w:hAnsi="IRBadr" w:cs="IRBadr"/>
          <w:rtl/>
        </w:rPr>
        <w:t>دوم</w:t>
      </w:r>
      <w:bookmarkEnd w:id="8"/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یک دلیل هم روایت دیگری دارد که ممکن است بگوییم این دو روایت یکی است. ولی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سند متفاوتی دارند.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در جلد دوازده کتاب التجارة،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ابواب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ما یکتسب به، باب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بیست‌وپنج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>، حدیث هفت، صفحه صد و هفت است.</w:t>
      </w:r>
    </w:p>
    <w:p w:rsidR="009722AB" w:rsidRPr="00C47461" w:rsidRDefault="009722AB" w:rsidP="00C4746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«عَبْدُ اللَّهِ بْنُ جَعْفَرٍ فِ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قُرْبِ الْإِسْنَادِ عَنِ السِّنْدِ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مُحَمَّدٍ عَنْ أَبِ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الْبَخْتَرِ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جَعْفَرِ بْنِ مُحَمَّدٍ عَنْ أَبِ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أَنَّ عَلِ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اً ع قَالَ: مَنْ تَعَلَّمَ شَ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ئاً مِنَ السِّحْرِ قَلِ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لًا- أَوْ 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ثِ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راً فَقَدْ 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فَرَ- وَ 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آخِرَ عَهْدِهِ بِرَبِّهِ وَ حَدُّهُ أَنْ 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قْتَلَ إِلَّا أَنْ 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تُوبَ.» 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9722AB" w:rsidRPr="00C47461" w:rsidRDefault="0032310C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9722AB" w:rsidRPr="00C47461">
        <w:rPr>
          <w:rFonts w:ascii="IRBadr" w:hAnsi="IRBadr" w:cs="IRBadr"/>
          <w:sz w:val="28"/>
          <w:szCs w:val="28"/>
          <w:rtl/>
          <w:lang w:bidi="fa-IR"/>
        </w:rPr>
        <w:t xml:space="preserve"> که وجود دارد این است که ضمیر حده در اینجا به سحر برگردد نه به تعلم. گرچه ظهور 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>اولیه‌ای</w:t>
      </w:r>
      <w:r w:rsidR="009722AB" w:rsidRPr="00C47461">
        <w:rPr>
          <w:rFonts w:ascii="IRBadr" w:hAnsi="IRBadr" w:cs="IRBadr"/>
          <w:sz w:val="28"/>
          <w:szCs w:val="28"/>
          <w:rtl/>
          <w:lang w:bidi="fa-IR"/>
        </w:rPr>
        <w:t xml:space="preserve"> وجود دارد که حده ضمیرش به تعلم برگردد چون محور کلام آن است،. ولی این احتمال هم که ضمیر حد به سحر برگردد منتفی نیست.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9722AB" w:rsidRPr="00C47461">
        <w:rPr>
          <w:rFonts w:ascii="IRBadr" w:hAnsi="IRBadr" w:cs="IRBadr"/>
          <w:sz w:val="28"/>
          <w:szCs w:val="28"/>
          <w:rtl/>
          <w:lang w:bidi="fa-IR"/>
        </w:rPr>
        <w:t xml:space="preserve"> احتمال اول ظهور بیشتری دارد.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722AB" w:rsidRPr="00C47461">
        <w:rPr>
          <w:rFonts w:ascii="IRBadr" w:hAnsi="IRBadr" w:cs="IRBadr"/>
          <w:sz w:val="28"/>
          <w:szCs w:val="28"/>
          <w:rtl/>
          <w:lang w:bidi="fa-IR"/>
        </w:rPr>
        <w:t xml:space="preserve">لذا در اینجا این نکته باعث 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722AB" w:rsidRPr="00C47461">
        <w:rPr>
          <w:rFonts w:ascii="IRBadr" w:hAnsi="IRBadr" w:cs="IRBadr"/>
          <w:sz w:val="28"/>
          <w:szCs w:val="28"/>
          <w:rtl/>
          <w:lang w:bidi="fa-IR"/>
        </w:rPr>
        <w:t xml:space="preserve"> که قاعده درع جاری شود.</w:t>
      </w:r>
    </w:p>
    <w:p w:rsidR="009722AB" w:rsidRPr="00C47461" w:rsidRDefault="009722AB" w:rsidP="00C47461">
      <w:pPr>
        <w:pStyle w:val="Heading3"/>
        <w:rPr>
          <w:rFonts w:ascii="IRBadr" w:hAnsi="IRBadr" w:cs="IRBadr"/>
          <w:rtl/>
        </w:rPr>
      </w:pPr>
      <w:bookmarkStart w:id="9" w:name="_Toc428281143"/>
      <w:r w:rsidRPr="00C47461">
        <w:rPr>
          <w:rFonts w:ascii="IRBadr" w:hAnsi="IRBadr" w:cs="IRBadr"/>
          <w:rtl/>
        </w:rPr>
        <w:lastRenderedPageBreak/>
        <w:t>مسقطیت توبه</w:t>
      </w:r>
      <w:bookmarkEnd w:id="9"/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در اینجا نیز باز این </w:t>
      </w:r>
      <w:r w:rsidR="00BE430C" w:rsidRPr="00C47461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مطرح 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>آیا با توبه این حد ساقط می‌شود یا نه؟</w:t>
      </w:r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>بله، با توبه دیگر حد قتل از ساحر ساقط می‌شود. به همان دلایلی که در بحث سابق می‌گفتیم و تکرار نمی‌کنیم. در اینجا در هر دو روایت دلیل خاص وجود دارد که قید توبه در آن ملحوظ شده است.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دو احتمال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در ضمیر،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ضمیر به سحر برگردد صراحت در مطلب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دارد و اگر به تعلم برگردد 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درباره شمول قید توبه درباره سحر نیز از طریق القای خصوصیت شامل 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22AB" w:rsidRPr="00C47461" w:rsidRDefault="009722AB" w:rsidP="00C47461">
      <w:pPr>
        <w:pStyle w:val="Heading4"/>
        <w:ind w:firstLine="0"/>
        <w:rPr>
          <w:rFonts w:ascii="IRBadr" w:hAnsi="IRBadr" w:cs="IRBadr"/>
          <w:rtl/>
        </w:rPr>
      </w:pPr>
      <w:bookmarkStart w:id="10" w:name="_Toc428281144"/>
      <w:r w:rsidRPr="00C47461">
        <w:rPr>
          <w:rFonts w:ascii="IRBadr" w:hAnsi="IRBadr" w:cs="IRBadr"/>
          <w:rtl/>
        </w:rPr>
        <w:t>سحر جایز</w:t>
      </w:r>
      <w:bookmarkEnd w:id="10"/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در ذیل این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فرموده شده است؛</w:t>
      </w:r>
    </w:p>
    <w:p w:rsidR="009722AB" w:rsidRPr="00C47461" w:rsidRDefault="009722AB" w:rsidP="00C47461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 لو تعلم السحر لإبطال مدع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النبوة فلا بأس به بل ربما 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جب.</w:t>
      </w:r>
      <w:r w:rsidR="00A6281D"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C47461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اگر تعلم سحر برای ابطال ادعای مدعی نبوت باشد یا برای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مردمان زیادی را از سحر نجات بدهد، در اینجا همه گفتند تعلمش جایز است و عملی که انجام می‌دهد که آن را ابطال کند،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جایز است.</w:t>
      </w:r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لذا در اینجا </w:t>
      </w:r>
      <w:r w:rsidR="006D060E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مصلحتی که وجود دارد،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می‌توان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حرمت سحر را تبدیل به حلیت نمود.</w:t>
      </w:r>
      <w:r w:rsidR="00A6281D" w:rsidRPr="00C4746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اینجا نیز تقریباً اختلافی وجود ندارد.</w:t>
      </w:r>
    </w:p>
    <w:p w:rsidR="009722AB" w:rsidRPr="00C47461" w:rsidRDefault="009722AB" w:rsidP="00C4746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مطلب دیگری که در تکمیل تحریر است این بوده که هر چه در آن تعزیر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ثابت‌شده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باشد، با اقرار و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بابینه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ثابت می‌شود. این هم طبق قواعد است. برای اینکه در باب شهادات گفتیم؛ همه امور قضایی با اقرار مره و </w:t>
      </w:r>
      <w:r w:rsidR="0032310C" w:rsidRPr="00C47461">
        <w:rPr>
          <w:rFonts w:ascii="IRBadr" w:hAnsi="IRBadr" w:cs="IRBadr"/>
          <w:sz w:val="28"/>
          <w:szCs w:val="28"/>
          <w:rtl/>
          <w:lang w:bidi="fa-IR"/>
        </w:rPr>
        <w:t>بابینه</w:t>
      </w:r>
      <w:r w:rsidRPr="00C47461">
        <w:rPr>
          <w:rFonts w:ascii="IRBadr" w:hAnsi="IRBadr" w:cs="IRBadr"/>
          <w:sz w:val="28"/>
          <w:szCs w:val="28"/>
          <w:rtl/>
          <w:lang w:bidi="fa-IR"/>
        </w:rPr>
        <w:t xml:space="preserve"> ثابت می‌شود. الا اینکه دلیل خاصی داشته باشیم، مثل باب زنا.</w:t>
      </w:r>
    </w:p>
    <w:p w:rsidR="00152670" w:rsidRPr="00C47461" w:rsidRDefault="00152670" w:rsidP="00C47461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C47461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2C" w:rsidRDefault="00EE442C" w:rsidP="000D5800">
      <w:pPr>
        <w:spacing w:after="0" w:line="240" w:lineRule="auto"/>
      </w:pPr>
      <w:r>
        <w:separator/>
      </w:r>
    </w:p>
  </w:endnote>
  <w:endnote w:type="continuationSeparator" w:id="0">
    <w:p w:rsidR="00EE442C" w:rsidRDefault="00EE442C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0C" w:rsidRDefault="00323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1457930"/>
      <w:docPartObj>
        <w:docPartGallery w:val="Page Numbers (Bottom of Page)"/>
        <w:docPartUnique/>
      </w:docPartObj>
    </w:sdtPr>
    <w:sdtEndPr/>
    <w:sdtContent>
      <w:p w:rsidR="00BE430C" w:rsidRDefault="00BE4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60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2310C" w:rsidRDefault="003231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0C" w:rsidRDefault="0032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2C" w:rsidRDefault="00EE442C" w:rsidP="00BE430C">
      <w:pPr>
        <w:bidi/>
        <w:spacing w:after="0" w:line="240" w:lineRule="auto"/>
      </w:pPr>
      <w:r>
        <w:separator/>
      </w:r>
    </w:p>
  </w:footnote>
  <w:footnote w:type="continuationSeparator" w:id="0">
    <w:p w:rsidR="00EE442C" w:rsidRDefault="00EE442C" w:rsidP="000D5800">
      <w:pPr>
        <w:spacing w:after="0" w:line="240" w:lineRule="auto"/>
      </w:pPr>
      <w:r>
        <w:continuationSeparator/>
      </w:r>
    </w:p>
  </w:footnote>
  <w:footnote w:id="1">
    <w:p w:rsidR="009722AB" w:rsidRDefault="009722AB" w:rsidP="009722A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32310C">
        <w:rPr>
          <w:rFonts w:ascii="Noor_Titr" w:hAnsi="Noor_Titr" w:cs="B Badr"/>
          <w:color w:val="000000" w:themeColor="text1"/>
          <w:rtl/>
        </w:rPr>
        <w:t>وسا</w:t>
      </w:r>
      <w:r w:rsidR="0032310C">
        <w:rPr>
          <w:rFonts w:ascii="Noor_Titr" w:hAnsi="Noor_Titr" w:cs="B Badr" w:hint="cs"/>
          <w:color w:val="000000" w:themeColor="text1"/>
          <w:rtl/>
        </w:rPr>
        <w:t>ی</w:t>
      </w:r>
      <w:r w:rsidR="0032310C">
        <w:rPr>
          <w:rFonts w:ascii="Noor_Titr" w:hAnsi="Noor_Titr" w:cs="B Badr" w:hint="eastAsia"/>
          <w:color w:val="000000" w:themeColor="text1"/>
          <w:rtl/>
        </w:rPr>
        <w:t>ل</w:t>
      </w:r>
      <w:r w:rsidRPr="003856F5">
        <w:rPr>
          <w:rFonts w:ascii="Noor_Titr" w:hAnsi="Noor_Titr" w:cs="B Badr" w:hint="cs"/>
          <w:color w:val="000000" w:themeColor="text1"/>
          <w:rtl/>
        </w:rPr>
        <w:t xml:space="preserve"> الش</w:t>
      </w:r>
      <w:r w:rsidR="00A6281D">
        <w:rPr>
          <w:rFonts w:ascii="Noor_Titr" w:hAnsi="Noor_Titr" w:cs="B Badr" w:hint="cs"/>
          <w:color w:val="000000" w:themeColor="text1"/>
          <w:rtl/>
        </w:rPr>
        <w:t>ی</w:t>
      </w:r>
      <w:r w:rsidRPr="003856F5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A6281D">
        <w:rPr>
          <w:rFonts w:ascii="Noor_Titr" w:hAnsi="Noor_Titr" w:cs="B Badr"/>
          <w:color w:val="000000" w:themeColor="text1"/>
          <w:rtl/>
        </w:rPr>
        <w:t>ج 28</w:t>
      </w:r>
      <w:r w:rsidRPr="003856F5">
        <w:rPr>
          <w:rFonts w:ascii="Noor_Titr" w:hAnsi="Noor_Titr" w:cs="B Badr" w:hint="cs"/>
          <w:color w:val="000000" w:themeColor="text1"/>
          <w:rtl/>
        </w:rPr>
        <w:t>، ص: 367</w:t>
      </w:r>
    </w:p>
  </w:footnote>
  <w:footnote w:id="2">
    <w:p w:rsidR="009722AB" w:rsidRDefault="009722AB" w:rsidP="009722A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3856F5">
        <w:rPr>
          <w:rFonts w:ascii="Noor_Titr" w:hAnsi="Noor_Titr" w:cs="B Badr" w:hint="cs"/>
          <w:color w:val="000000" w:themeColor="text1"/>
          <w:rtl/>
        </w:rPr>
        <w:t>وسائل الش</w:t>
      </w:r>
      <w:r w:rsidR="00A6281D">
        <w:rPr>
          <w:rFonts w:ascii="Noor_Titr" w:hAnsi="Noor_Titr" w:cs="B Badr" w:hint="cs"/>
          <w:color w:val="000000" w:themeColor="text1"/>
          <w:rtl/>
        </w:rPr>
        <w:t>ی</w:t>
      </w:r>
      <w:r w:rsidRPr="003856F5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A6281D">
        <w:rPr>
          <w:rFonts w:ascii="Noor_Titr" w:hAnsi="Noor_Titr" w:cs="B Badr"/>
          <w:color w:val="000000" w:themeColor="text1"/>
          <w:rtl/>
        </w:rPr>
        <w:t>ج 17</w:t>
      </w:r>
      <w:r w:rsidRPr="003856F5">
        <w:rPr>
          <w:rFonts w:ascii="Noor_Titr" w:hAnsi="Noor_Titr" w:cs="B Badr" w:hint="cs"/>
          <w:color w:val="000000" w:themeColor="text1"/>
          <w:rtl/>
        </w:rPr>
        <w:t>، ص: 148</w:t>
      </w:r>
    </w:p>
  </w:footnote>
  <w:footnote w:id="3">
    <w:p w:rsidR="009722AB" w:rsidRDefault="009722AB" w:rsidP="009722A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3856F5">
        <w:rPr>
          <w:rFonts w:ascii="Noor_Titr" w:hAnsi="Noor_Titr" w:cs="B Badr" w:hint="cs"/>
          <w:color w:val="000000" w:themeColor="text1"/>
          <w:rtl/>
        </w:rPr>
        <w:t>تحر</w:t>
      </w:r>
      <w:r w:rsidR="00A6281D">
        <w:rPr>
          <w:rFonts w:ascii="Noor_Titr" w:hAnsi="Noor_Titr" w:cs="B Badr" w:hint="cs"/>
          <w:color w:val="000000" w:themeColor="text1"/>
          <w:rtl/>
        </w:rPr>
        <w:t>ی</w:t>
      </w:r>
      <w:r w:rsidRPr="003856F5">
        <w:rPr>
          <w:rFonts w:ascii="Noor_Titr" w:hAnsi="Noor_Titr" w:cs="B Badr" w:hint="cs"/>
          <w:color w:val="000000" w:themeColor="text1"/>
          <w:rtl/>
        </w:rPr>
        <w:t>ر الوس</w:t>
      </w:r>
      <w:r w:rsidR="00A6281D">
        <w:rPr>
          <w:rFonts w:ascii="Noor_Titr" w:hAnsi="Noor_Titr" w:cs="B Badr" w:hint="cs"/>
          <w:color w:val="000000" w:themeColor="text1"/>
          <w:rtl/>
        </w:rPr>
        <w:t>ی</w:t>
      </w:r>
      <w:r w:rsidRPr="003856F5">
        <w:rPr>
          <w:rFonts w:ascii="Noor_Titr" w:hAnsi="Noor_Titr" w:cs="B Badr" w:hint="cs"/>
          <w:color w:val="000000" w:themeColor="text1"/>
          <w:rtl/>
        </w:rPr>
        <w:t xml:space="preserve">لة؛ </w:t>
      </w:r>
      <w:r w:rsidR="00A6281D">
        <w:rPr>
          <w:rFonts w:ascii="Noor_Titr" w:hAnsi="Noor_Titr" w:cs="B Badr"/>
          <w:color w:val="000000" w:themeColor="text1"/>
          <w:rtl/>
        </w:rPr>
        <w:t>ج 2</w:t>
      </w:r>
      <w:r w:rsidRPr="003856F5">
        <w:rPr>
          <w:rFonts w:ascii="Noor_Titr" w:hAnsi="Noor_Titr" w:cs="B Badr" w:hint="cs"/>
          <w:color w:val="000000" w:themeColor="text1"/>
          <w:rtl/>
        </w:rPr>
        <w:t>، ص: 477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0C" w:rsidRDefault="00323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9722AB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D3602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722AB">
      <w:rPr>
        <w:rFonts w:ascii="IranNastaliq" w:hAnsi="IranNastaliq" w:cs="IranNastaliq" w:hint="cs"/>
        <w:sz w:val="40"/>
        <w:szCs w:val="40"/>
        <w:rtl/>
        <w:lang w:bidi="fa-IR"/>
      </w:rPr>
      <w:t>827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0C" w:rsidRDefault="00323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2310C"/>
    <w:rsid w:val="00340BA3"/>
    <w:rsid w:val="00366400"/>
    <w:rsid w:val="003963D7"/>
    <w:rsid w:val="00396F28"/>
    <w:rsid w:val="003A1A05"/>
    <w:rsid w:val="003A2654"/>
    <w:rsid w:val="003A4215"/>
    <w:rsid w:val="003B4C26"/>
    <w:rsid w:val="003C06BF"/>
    <w:rsid w:val="003C7899"/>
    <w:rsid w:val="003D2F0A"/>
    <w:rsid w:val="003D563F"/>
    <w:rsid w:val="003E1E58"/>
    <w:rsid w:val="003F1AED"/>
    <w:rsid w:val="00405199"/>
    <w:rsid w:val="00410699"/>
    <w:rsid w:val="00415360"/>
    <w:rsid w:val="0044591E"/>
    <w:rsid w:val="004651D2"/>
    <w:rsid w:val="00465D26"/>
    <w:rsid w:val="004679F8"/>
    <w:rsid w:val="00494DC0"/>
    <w:rsid w:val="00496073"/>
    <w:rsid w:val="004B337F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6229C"/>
    <w:rsid w:val="00675B32"/>
    <w:rsid w:val="0069696C"/>
    <w:rsid w:val="006A085A"/>
    <w:rsid w:val="006D060E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401AC"/>
    <w:rsid w:val="009613AC"/>
    <w:rsid w:val="009722AB"/>
    <w:rsid w:val="00980643"/>
    <w:rsid w:val="009B46BC"/>
    <w:rsid w:val="009B61C3"/>
    <w:rsid w:val="009C620C"/>
    <w:rsid w:val="009C7B4F"/>
    <w:rsid w:val="009F4EB3"/>
    <w:rsid w:val="009F7E77"/>
    <w:rsid w:val="00A06D48"/>
    <w:rsid w:val="00A21834"/>
    <w:rsid w:val="00A31C17"/>
    <w:rsid w:val="00A31FDE"/>
    <w:rsid w:val="00A35AC2"/>
    <w:rsid w:val="00A37C77"/>
    <w:rsid w:val="00A5418D"/>
    <w:rsid w:val="00A6281D"/>
    <w:rsid w:val="00A725C2"/>
    <w:rsid w:val="00A769EE"/>
    <w:rsid w:val="00A810A5"/>
    <w:rsid w:val="00A9616A"/>
    <w:rsid w:val="00A96F68"/>
    <w:rsid w:val="00AA2342"/>
    <w:rsid w:val="00AB4829"/>
    <w:rsid w:val="00AD0304"/>
    <w:rsid w:val="00AD278F"/>
    <w:rsid w:val="00AD27BE"/>
    <w:rsid w:val="00AF0F1A"/>
    <w:rsid w:val="00AF6CE9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E430C"/>
    <w:rsid w:val="00BF3D67"/>
    <w:rsid w:val="00C160AF"/>
    <w:rsid w:val="00C22299"/>
    <w:rsid w:val="00C25609"/>
    <w:rsid w:val="00C262D7"/>
    <w:rsid w:val="00C26607"/>
    <w:rsid w:val="00C47461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6DC0"/>
    <w:rsid w:val="00DA0ABD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080F"/>
    <w:rsid w:val="00EC4393"/>
    <w:rsid w:val="00EE1C07"/>
    <w:rsid w:val="00EE2C91"/>
    <w:rsid w:val="00EE3979"/>
    <w:rsid w:val="00EE442C"/>
    <w:rsid w:val="00EF138C"/>
    <w:rsid w:val="00F034CE"/>
    <w:rsid w:val="00F10A0F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4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97A4-DC11-434F-84BF-7FE50A33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</cp:revision>
  <dcterms:created xsi:type="dcterms:W3CDTF">2015-08-25T22:55:00Z</dcterms:created>
  <dcterms:modified xsi:type="dcterms:W3CDTF">2015-08-17T04:14:00Z</dcterms:modified>
</cp:coreProperties>
</file>