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6F" w:rsidRPr="0054003C" w:rsidRDefault="00576987" w:rsidP="0054003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B4366F" w:rsidRPr="0054003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54003C" w:rsidRPr="0054003C" w:rsidRDefault="0054003C" w:rsidP="0054003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</w:p>
    <w:p w:rsidR="0054003C" w:rsidRPr="0054003C" w:rsidRDefault="0054003C" w:rsidP="005400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54003C">
        <w:rPr>
          <w:rFonts w:ascii="IRBadr" w:hAnsi="IRBadr" w:cs="IRBadr"/>
          <w:b/>
          <w:bCs/>
          <w:sz w:val="28"/>
          <w:rtl/>
        </w:rPr>
        <w:fldChar w:fldCharType="begin"/>
      </w:r>
      <w:r w:rsidRPr="0054003C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54003C">
        <w:rPr>
          <w:rFonts w:ascii="IRBadr" w:hAnsi="IRBadr" w:cs="IRBadr"/>
          <w:b/>
          <w:bCs/>
          <w:sz w:val="28"/>
        </w:rPr>
        <w:instrText>TOC</w:instrText>
      </w:r>
      <w:r w:rsidRPr="0054003C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54003C">
        <w:rPr>
          <w:rFonts w:ascii="IRBadr" w:hAnsi="IRBadr" w:cs="IRBadr"/>
          <w:b/>
          <w:bCs/>
          <w:sz w:val="28"/>
        </w:rPr>
        <w:instrText>o "</w:instrText>
      </w:r>
      <w:r w:rsidRPr="0054003C">
        <w:rPr>
          <w:rFonts w:ascii="IRBadr" w:hAnsi="IRBadr" w:cs="IRBadr"/>
          <w:b/>
          <w:bCs/>
          <w:sz w:val="28"/>
          <w:rtl/>
        </w:rPr>
        <w:instrText>1-4</w:instrText>
      </w:r>
      <w:r w:rsidRPr="0054003C">
        <w:rPr>
          <w:rFonts w:ascii="IRBadr" w:hAnsi="IRBadr" w:cs="IRBadr"/>
          <w:b/>
          <w:bCs/>
          <w:sz w:val="28"/>
        </w:rPr>
        <w:instrText>" \h \z \u</w:instrText>
      </w:r>
      <w:r w:rsidRPr="0054003C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54003C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281572" w:history="1">
        <w:r w:rsidRPr="0054003C">
          <w:rPr>
            <w:rStyle w:val="Hyperlink"/>
            <w:rFonts w:ascii="IRBadr" w:hAnsi="IRBadr" w:cs="IRBadr"/>
            <w:noProof/>
            <w:rtl/>
          </w:rPr>
          <w:t>سب النبی (ص)</w:t>
        </w:r>
        <w:r w:rsidRPr="0054003C">
          <w:rPr>
            <w:rFonts w:ascii="IRBadr" w:hAnsi="IRBadr" w:cs="IRBadr"/>
            <w:noProof/>
            <w:webHidden/>
          </w:rPr>
          <w:tab/>
        </w:r>
        <w:r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54003C">
          <w:rPr>
            <w:rFonts w:ascii="IRBadr" w:hAnsi="IRBadr" w:cs="IRBadr"/>
            <w:noProof/>
            <w:webHidden/>
          </w:rPr>
          <w:instrText xml:space="preserve"> PAGEREF _Toc428281572 \h </w:instrText>
        </w:r>
        <w:r w:rsidRPr="0054003C">
          <w:rPr>
            <w:rStyle w:val="Hyperlink"/>
            <w:rFonts w:ascii="IRBadr" w:hAnsi="IRBadr" w:cs="IRBadr"/>
            <w:noProof/>
            <w:rtl/>
          </w:rPr>
        </w:r>
        <w:r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54003C">
          <w:rPr>
            <w:rFonts w:ascii="IRBadr" w:hAnsi="IRBadr" w:cs="IRBadr"/>
            <w:noProof/>
            <w:webHidden/>
          </w:rPr>
          <w:t>1</w:t>
        </w:r>
        <w:r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AA2FC9" w:rsidP="005400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573" w:history="1">
        <w:r w:rsidR="0054003C" w:rsidRPr="0054003C">
          <w:rPr>
            <w:rStyle w:val="Hyperlink"/>
            <w:rFonts w:ascii="IRBadr" w:hAnsi="IRBadr" w:cs="IRBadr"/>
            <w:noProof/>
            <w:rtl/>
          </w:rPr>
          <w:t>تعزیرات</w:t>
        </w:r>
        <w:r w:rsidR="0054003C" w:rsidRPr="0054003C">
          <w:rPr>
            <w:rFonts w:ascii="IRBadr" w:hAnsi="IRBadr" w:cs="IRBadr"/>
            <w:noProof/>
            <w:webHidden/>
          </w:rPr>
          <w:tab/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4003C" w:rsidRPr="0054003C">
          <w:rPr>
            <w:rFonts w:ascii="IRBadr" w:hAnsi="IRBadr" w:cs="IRBadr"/>
            <w:noProof/>
            <w:webHidden/>
          </w:rPr>
          <w:instrText xml:space="preserve"> PAGEREF _Toc428281573 \h </w:instrText>
        </w:r>
        <w:r w:rsidR="0054003C" w:rsidRPr="0054003C">
          <w:rPr>
            <w:rStyle w:val="Hyperlink"/>
            <w:rFonts w:ascii="IRBadr" w:hAnsi="IRBadr" w:cs="IRBadr"/>
            <w:noProof/>
            <w:rtl/>
          </w:rPr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4003C" w:rsidRPr="0054003C">
          <w:rPr>
            <w:rFonts w:ascii="IRBadr" w:hAnsi="IRBadr" w:cs="IRBadr"/>
            <w:noProof/>
            <w:webHidden/>
          </w:rPr>
          <w:t>1</w:t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AA2FC9" w:rsidP="005400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574" w:history="1">
        <w:r w:rsidR="0054003C" w:rsidRPr="0054003C">
          <w:rPr>
            <w:rStyle w:val="Hyperlink"/>
            <w:rFonts w:ascii="IRBadr" w:hAnsi="IRBadr" w:cs="IRBadr"/>
            <w:noProof/>
            <w:rtl/>
          </w:rPr>
          <w:t>اصل در تعزیرات</w:t>
        </w:r>
        <w:r w:rsidR="0054003C" w:rsidRPr="0054003C">
          <w:rPr>
            <w:rFonts w:ascii="IRBadr" w:hAnsi="IRBadr" w:cs="IRBadr"/>
            <w:noProof/>
            <w:webHidden/>
          </w:rPr>
          <w:tab/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4003C" w:rsidRPr="0054003C">
          <w:rPr>
            <w:rFonts w:ascii="IRBadr" w:hAnsi="IRBadr" w:cs="IRBadr"/>
            <w:noProof/>
            <w:webHidden/>
          </w:rPr>
          <w:instrText xml:space="preserve"> PAGEREF _Toc428281574 \h </w:instrText>
        </w:r>
        <w:r w:rsidR="0054003C" w:rsidRPr="0054003C">
          <w:rPr>
            <w:rStyle w:val="Hyperlink"/>
            <w:rFonts w:ascii="IRBadr" w:hAnsi="IRBadr" w:cs="IRBadr"/>
            <w:noProof/>
            <w:rtl/>
          </w:rPr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4003C" w:rsidRPr="0054003C">
          <w:rPr>
            <w:rFonts w:ascii="IRBadr" w:hAnsi="IRBadr" w:cs="IRBadr"/>
            <w:noProof/>
            <w:webHidden/>
          </w:rPr>
          <w:t>2</w:t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AA2FC9" w:rsidP="0054003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575" w:history="1">
        <w:r w:rsidR="0054003C" w:rsidRPr="0054003C">
          <w:rPr>
            <w:rStyle w:val="Hyperlink"/>
            <w:rFonts w:ascii="IRBadr" w:hAnsi="IRBadr" w:cs="IRBadr"/>
            <w:noProof/>
            <w:rtl/>
          </w:rPr>
          <w:t>اقوال در تعزیر</w:t>
        </w:r>
        <w:r w:rsidR="0054003C" w:rsidRPr="0054003C">
          <w:rPr>
            <w:rFonts w:ascii="IRBadr" w:hAnsi="IRBadr" w:cs="IRBadr"/>
            <w:noProof/>
            <w:webHidden/>
          </w:rPr>
          <w:tab/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4003C" w:rsidRPr="0054003C">
          <w:rPr>
            <w:rFonts w:ascii="IRBadr" w:hAnsi="IRBadr" w:cs="IRBadr"/>
            <w:noProof/>
            <w:webHidden/>
          </w:rPr>
          <w:instrText xml:space="preserve"> PAGEREF _Toc428281575 \h </w:instrText>
        </w:r>
        <w:r w:rsidR="0054003C" w:rsidRPr="0054003C">
          <w:rPr>
            <w:rStyle w:val="Hyperlink"/>
            <w:rFonts w:ascii="IRBadr" w:hAnsi="IRBadr" w:cs="IRBadr"/>
            <w:noProof/>
            <w:rtl/>
          </w:rPr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4003C" w:rsidRPr="0054003C">
          <w:rPr>
            <w:rFonts w:ascii="IRBadr" w:hAnsi="IRBadr" w:cs="IRBadr"/>
            <w:noProof/>
            <w:webHidden/>
          </w:rPr>
          <w:t>2</w:t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AA2FC9" w:rsidP="0054003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576" w:history="1">
        <w:r w:rsidR="0054003C" w:rsidRPr="0054003C">
          <w:rPr>
            <w:rStyle w:val="Hyperlink"/>
            <w:rFonts w:ascii="IRBadr" w:hAnsi="IRBadr" w:cs="IRBadr"/>
            <w:noProof/>
            <w:rtl/>
          </w:rPr>
          <w:t>مبنای قول سوم</w:t>
        </w:r>
        <w:r w:rsidR="0054003C" w:rsidRPr="0054003C">
          <w:rPr>
            <w:rFonts w:ascii="IRBadr" w:hAnsi="IRBadr" w:cs="IRBadr"/>
            <w:noProof/>
            <w:webHidden/>
          </w:rPr>
          <w:tab/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4003C" w:rsidRPr="0054003C">
          <w:rPr>
            <w:rFonts w:ascii="IRBadr" w:hAnsi="IRBadr" w:cs="IRBadr"/>
            <w:noProof/>
            <w:webHidden/>
          </w:rPr>
          <w:instrText xml:space="preserve"> PAGEREF _Toc428281576 \h </w:instrText>
        </w:r>
        <w:r w:rsidR="0054003C" w:rsidRPr="0054003C">
          <w:rPr>
            <w:rStyle w:val="Hyperlink"/>
            <w:rFonts w:ascii="IRBadr" w:hAnsi="IRBadr" w:cs="IRBadr"/>
            <w:noProof/>
            <w:rtl/>
          </w:rPr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4003C" w:rsidRPr="0054003C">
          <w:rPr>
            <w:rFonts w:ascii="IRBadr" w:hAnsi="IRBadr" w:cs="IRBadr"/>
            <w:noProof/>
            <w:webHidden/>
          </w:rPr>
          <w:t>2</w:t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AA2FC9" w:rsidP="0054003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577" w:history="1">
        <w:r w:rsidR="0054003C" w:rsidRPr="0054003C">
          <w:rPr>
            <w:rStyle w:val="Hyperlink"/>
            <w:rFonts w:ascii="IRBadr" w:hAnsi="IRBadr" w:cs="IRBadr"/>
            <w:noProof/>
            <w:rtl/>
          </w:rPr>
          <w:t>قاعده قرعه</w:t>
        </w:r>
        <w:r w:rsidR="0054003C" w:rsidRPr="0054003C">
          <w:rPr>
            <w:rFonts w:ascii="IRBadr" w:hAnsi="IRBadr" w:cs="IRBadr"/>
            <w:noProof/>
            <w:webHidden/>
          </w:rPr>
          <w:tab/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4003C" w:rsidRPr="0054003C">
          <w:rPr>
            <w:rFonts w:ascii="IRBadr" w:hAnsi="IRBadr" w:cs="IRBadr"/>
            <w:noProof/>
            <w:webHidden/>
          </w:rPr>
          <w:instrText xml:space="preserve"> PAGEREF _Toc428281577 \h </w:instrText>
        </w:r>
        <w:r w:rsidR="0054003C" w:rsidRPr="0054003C">
          <w:rPr>
            <w:rStyle w:val="Hyperlink"/>
            <w:rFonts w:ascii="IRBadr" w:hAnsi="IRBadr" w:cs="IRBadr"/>
            <w:noProof/>
            <w:rtl/>
          </w:rPr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4003C" w:rsidRPr="0054003C">
          <w:rPr>
            <w:rFonts w:ascii="IRBadr" w:hAnsi="IRBadr" w:cs="IRBadr"/>
            <w:noProof/>
            <w:webHidden/>
          </w:rPr>
          <w:t>3</w:t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AA2FC9" w:rsidP="0054003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578" w:history="1">
        <w:r w:rsidR="0054003C" w:rsidRPr="0054003C">
          <w:rPr>
            <w:rStyle w:val="Hyperlink"/>
            <w:rFonts w:ascii="IRBadr" w:hAnsi="IRBadr" w:cs="IRBadr"/>
            <w:noProof/>
            <w:rtl/>
          </w:rPr>
          <w:t>تطبیق بحث</w:t>
        </w:r>
        <w:r w:rsidR="0054003C" w:rsidRPr="0054003C">
          <w:rPr>
            <w:rFonts w:ascii="IRBadr" w:hAnsi="IRBadr" w:cs="IRBadr"/>
            <w:noProof/>
            <w:webHidden/>
          </w:rPr>
          <w:tab/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4003C" w:rsidRPr="0054003C">
          <w:rPr>
            <w:rFonts w:ascii="IRBadr" w:hAnsi="IRBadr" w:cs="IRBadr"/>
            <w:noProof/>
            <w:webHidden/>
          </w:rPr>
          <w:instrText xml:space="preserve"> PAGEREF _Toc428281578 \h </w:instrText>
        </w:r>
        <w:r w:rsidR="0054003C" w:rsidRPr="0054003C">
          <w:rPr>
            <w:rStyle w:val="Hyperlink"/>
            <w:rFonts w:ascii="IRBadr" w:hAnsi="IRBadr" w:cs="IRBadr"/>
            <w:noProof/>
            <w:rtl/>
          </w:rPr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4003C" w:rsidRPr="0054003C">
          <w:rPr>
            <w:rFonts w:ascii="IRBadr" w:hAnsi="IRBadr" w:cs="IRBadr"/>
            <w:noProof/>
            <w:webHidden/>
          </w:rPr>
          <w:t>3</w:t>
        </w:r>
        <w:r w:rsidR="0054003C" w:rsidRPr="0054003C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4003C" w:rsidRPr="0054003C" w:rsidRDefault="0054003C" w:rsidP="0054003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54003C" w:rsidRPr="0054003C" w:rsidRDefault="0054003C" w:rsidP="0057723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b/>
          <w:bCs/>
          <w:sz w:val="28"/>
          <w:szCs w:val="28"/>
          <w:rtl/>
          <w:lang w:bidi="fa-IR"/>
        </w:rPr>
        <w:br w:type="page"/>
      </w:r>
    </w:p>
    <w:p w:rsidR="00B4366F" w:rsidRPr="0054003C" w:rsidRDefault="00B4366F" w:rsidP="0054003C">
      <w:pPr>
        <w:pStyle w:val="Heading1"/>
        <w:rPr>
          <w:rFonts w:ascii="IRBadr" w:hAnsi="IRBadr" w:cs="IRBadr"/>
          <w:rtl/>
        </w:rPr>
      </w:pPr>
      <w:bookmarkStart w:id="0" w:name="_Toc428281572"/>
      <w:r w:rsidRPr="0054003C">
        <w:rPr>
          <w:rFonts w:ascii="IRBadr" w:hAnsi="IRBadr" w:cs="IRBadr"/>
          <w:rtl/>
        </w:rPr>
        <w:lastRenderedPageBreak/>
        <w:t>سب النبی (ص)</w:t>
      </w:r>
      <w:bookmarkEnd w:id="0"/>
    </w:p>
    <w:p w:rsidR="00B4366F" w:rsidRPr="0054003C" w:rsidRDefault="00B4366F" w:rsidP="0054003C">
      <w:pPr>
        <w:pStyle w:val="Heading1"/>
        <w:rPr>
          <w:rFonts w:ascii="IRBadr" w:hAnsi="IRBadr" w:cs="IRBadr"/>
          <w:rtl/>
        </w:rPr>
      </w:pPr>
      <w:bookmarkStart w:id="1" w:name="_Toc428281573"/>
      <w:r w:rsidRPr="0054003C">
        <w:rPr>
          <w:rFonts w:ascii="IRBadr" w:hAnsi="IRBadr" w:cs="IRBadr"/>
          <w:rtl/>
        </w:rPr>
        <w:t>تعزیرات</w:t>
      </w:r>
      <w:bookmarkEnd w:id="1"/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مسئله چهارم مربوط به تعزیرات است. و اینکه در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غیرازآن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معاصی که حدی شارع برای آن‌ها مقرر کرده است، حاکم حق تعزیر دارد. سابقاً گفته شد که حد با تعزیر متفاوت است،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عقوبتی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که در شرع در قبال معاصی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مقررشده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حد است.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عقوبت‌هایی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که میزان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مشخص نشده است و اختیار آن به حاکم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سپرده‌شده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نام دارد.</w:t>
      </w:r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پاره‌ای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از موارد در روایات در قبال معصیتی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است که عقوبت آن تعزیر است.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آکل میته یا و کسی که در حال حیض مجامعت کند. اما بحث در این است که آیا در مطلق گناهان تعزیر ثابت است یا خیر؟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آیا در این زمینه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کلی داریم که ما را مصداق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بی‌نیاز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کند یا باید به دنبال تتبع مصادیق باشیم؟</w:t>
      </w:r>
    </w:p>
    <w:p w:rsidR="00B4366F" w:rsidRPr="0054003C" w:rsidRDefault="00B4366F" w:rsidP="0054003C">
      <w:pPr>
        <w:pStyle w:val="Heading1"/>
        <w:rPr>
          <w:rFonts w:ascii="IRBadr" w:hAnsi="IRBadr" w:cs="IRBadr"/>
          <w:rtl/>
        </w:rPr>
      </w:pPr>
      <w:bookmarkStart w:id="2" w:name="_Toc428281574"/>
      <w:r w:rsidRPr="0054003C">
        <w:rPr>
          <w:rFonts w:ascii="IRBadr" w:hAnsi="IRBadr" w:cs="IRBadr"/>
          <w:rtl/>
        </w:rPr>
        <w:t>اصل در تعزیرات</w:t>
      </w:r>
      <w:bookmarkEnd w:id="2"/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>اصل بر عدم تعزیر است،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برای ثبوت آن نیاز به وجود دلیل خاص است.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سؤال فوق چند قول وجود دارد.</w:t>
      </w:r>
    </w:p>
    <w:p w:rsidR="00B4366F" w:rsidRPr="0054003C" w:rsidRDefault="00B4366F" w:rsidP="0054003C">
      <w:pPr>
        <w:pStyle w:val="Heading1"/>
        <w:rPr>
          <w:rFonts w:ascii="IRBadr" w:hAnsi="IRBadr" w:cs="IRBadr"/>
          <w:rtl/>
        </w:rPr>
      </w:pPr>
      <w:bookmarkStart w:id="3" w:name="_Toc428281575"/>
      <w:r w:rsidRPr="0054003C">
        <w:rPr>
          <w:rFonts w:ascii="IRBadr" w:hAnsi="IRBadr" w:cs="IRBadr"/>
          <w:rtl/>
        </w:rPr>
        <w:t>اقوال در تعزیر</w:t>
      </w:r>
      <w:bookmarkEnd w:id="3"/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یک قول مبتنی بر عدم تعزیر به نحوی مطلق است چه در گناهان صغیره و چه در گناهان کبیره تعزیر وجود دارد که ظاهر قول برخی از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قدما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و متأخرین در این قول است.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خصوصاً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در میان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قدما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اشتهار بیشتری دارد.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قول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یک قاعده کلی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قول دوم مبتنی بر فوق بین صغیره و کبیره است که تنها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در گناهان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کبیره تعزیر ثابت است،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صغایر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به نحوی مطلق تعزیر وجود ندارد. قول سوم این است که در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کبایر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ثابت است و صغیره بر دو قسم است، گاهی است که صغیره از انسانی صادر می‌شود، مرتکب کبیره هم می‌شود، در قبال او تعزیر وجود دارد.</w:t>
      </w:r>
    </w:p>
    <w:p w:rsidR="00B4366F" w:rsidRPr="0054003C" w:rsidRDefault="00B4366F" w:rsidP="0054003C">
      <w:pPr>
        <w:pStyle w:val="Heading2"/>
        <w:rPr>
          <w:rFonts w:ascii="IRBadr" w:hAnsi="IRBadr" w:cs="IRBadr"/>
          <w:rtl/>
        </w:rPr>
      </w:pPr>
      <w:bookmarkStart w:id="4" w:name="_Toc428281576"/>
      <w:r w:rsidRPr="0054003C">
        <w:rPr>
          <w:rFonts w:ascii="IRBadr" w:hAnsi="IRBadr" w:cs="IRBadr"/>
          <w:rtl/>
        </w:rPr>
        <w:lastRenderedPageBreak/>
        <w:t>مبنای قول سوم</w:t>
      </w:r>
      <w:bookmarkEnd w:id="4"/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استدلال قائلین قول سوم مبتنی بر تنقیح مناط است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رسیدن به مناط حکم امر دشواری است،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احتمال دارد حکم شرعی برای گناه باشد نه خصوصیت آن. گناهان در درجه مساوی نیستند بلکه مقول به تشکیک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>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نسبت به این بیان اطمینان و احتمال عقلایی وجود ندارد و بیشتر شبیه به قیاسی است که نخواهیم توانست از راه استقراء موردی به حکمی کلی برسیم.</w:t>
      </w:r>
    </w:p>
    <w:p w:rsidR="00B4366F" w:rsidRPr="0054003C" w:rsidRDefault="00B4366F" w:rsidP="0054003C">
      <w:pPr>
        <w:pStyle w:val="Heading3"/>
        <w:rPr>
          <w:rFonts w:ascii="IRBadr" w:hAnsi="IRBadr" w:cs="IRBadr"/>
          <w:rtl/>
        </w:rPr>
      </w:pPr>
      <w:bookmarkStart w:id="5" w:name="_Toc428281577"/>
      <w:r w:rsidRPr="0054003C">
        <w:rPr>
          <w:rFonts w:ascii="IRBadr" w:hAnsi="IRBadr" w:cs="IRBadr"/>
          <w:rtl/>
        </w:rPr>
        <w:t>قاعده قرعه</w:t>
      </w:r>
      <w:bookmarkEnd w:id="5"/>
    </w:p>
    <w:p w:rsidR="00B4366F" w:rsidRPr="0054003C" w:rsidRDefault="00576987" w:rsidP="0054003C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rtl/>
          <w:lang w:bidi="fa-IR"/>
        </w:rPr>
      </w:pPr>
      <w:r w:rsidRPr="0054003C">
        <w:rPr>
          <w:rFonts w:ascii="IRBadr" w:eastAsia="Times New Roman" w:hAnsi="IRBadr" w:cs="IRBadr"/>
          <w:sz w:val="28"/>
          <w:szCs w:val="28"/>
          <w:rtl/>
          <w:lang w:bidi="fa-IR"/>
        </w:rPr>
        <w:t>قاعده‌ای</w:t>
      </w:r>
      <w:r w:rsidR="00B4366F" w:rsidRPr="0054003C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در فقه وجود دارد که</w:t>
      </w:r>
      <w:r w:rsidR="00B4366F" w:rsidRPr="0054003C">
        <w:rPr>
          <w:rFonts w:ascii="IRBadr" w:eastAsia="Times New Roman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B4366F" w:rsidRPr="0054003C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 القرعة ل</w:t>
      </w:r>
      <w:r w:rsidR="006A418C" w:rsidRPr="0054003C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B4366F" w:rsidRPr="0054003C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 أمر مش</w:t>
      </w:r>
      <w:r w:rsidR="006A418C" w:rsidRPr="0054003C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B4366F" w:rsidRPr="0054003C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ل»</w:t>
      </w:r>
      <w:r w:rsidR="00B4366F" w:rsidRPr="0054003C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یکی از </w:t>
      </w:r>
      <w:r w:rsidR="00576987"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ادله‌ای</w:t>
      </w:r>
      <w:r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برای این قاعده کلی </w:t>
      </w:r>
      <w:r w:rsidR="00576987"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شمرده‌شده</w:t>
      </w:r>
      <w:r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در آن بحث،</w:t>
      </w:r>
      <w:r w:rsidR="006A418C"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همین</w:t>
      </w:r>
      <w:r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دلیل استقراء است. </w:t>
      </w:r>
      <w:r w:rsidR="00576987"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بعضی در</w:t>
      </w:r>
      <w:r w:rsidRPr="0054003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فقه بدین امر قائل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که وقتی امری مشکل شود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به قرعه رجوع نمود.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قاعده به خاطر خصوصیت مورد نبوده است بلکه مربوط به مواردی است که مشکلی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دررسیدن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ایجاد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>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اگر این قاعده سندی نیز نداشته باشد،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فقهی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بدان رجوع کنیم. ولی مواردی که در فقه از امری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جزئی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رسیده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نخواهد بود. مگر اینکه موارد آن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تعدد پیدا کند که فقیه به این اطمینان برسد که مورد در آن خصوصیتی نداشته و حکم کلی است.</w:t>
      </w:r>
    </w:p>
    <w:p w:rsidR="00B4366F" w:rsidRPr="0054003C" w:rsidRDefault="00B4366F" w:rsidP="0054003C">
      <w:pPr>
        <w:pStyle w:val="Heading3"/>
        <w:rPr>
          <w:rFonts w:ascii="IRBadr" w:hAnsi="IRBadr" w:cs="IRBadr"/>
          <w:rtl/>
        </w:rPr>
      </w:pPr>
      <w:bookmarkStart w:id="6" w:name="_Toc428281578"/>
      <w:r w:rsidRPr="0054003C">
        <w:rPr>
          <w:rFonts w:ascii="IRBadr" w:hAnsi="IRBadr" w:cs="IRBadr"/>
          <w:rtl/>
        </w:rPr>
        <w:t>تطبیق بحث</w:t>
      </w:r>
      <w:bookmarkEnd w:id="6"/>
    </w:p>
    <w:p w:rsidR="00B4366F" w:rsidRPr="0054003C" w:rsidRDefault="00B4366F" w:rsidP="005400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>در این مقام نیز هرچند مواردی از صغایر زیاد هم باشد،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از این طریق 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به حکمی کلی در این رابطه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که در هر معصیت 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>صغیره‌ای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نیز تعزیر ثابت است.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در این جایگاه تعدد موردی محل کلام است،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برفرض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تکثر موارد نیز رسیدن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کلی محل نظر و خدشه است.</w:t>
      </w:r>
    </w:p>
    <w:p w:rsidR="00B4366F" w:rsidRPr="0054003C" w:rsidRDefault="00B4366F" w:rsidP="00805A1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این بحث در مکاسب و برخی کتب اخلاقی نیز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6A418C" w:rsidRPr="0054003C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577232">
        <w:rPr>
          <w:rFonts w:ascii="IRBadr" w:hAnsi="IRBadr" w:cs="IRBadr"/>
          <w:sz w:val="28"/>
          <w:szCs w:val="28"/>
          <w:rtl/>
          <w:lang w:bidi="fa-IR"/>
        </w:rPr>
        <w:t xml:space="preserve"> تع</w:t>
      </w:r>
      <w:r w:rsidR="00805A1B">
        <w:rPr>
          <w:rFonts w:ascii="IRBadr" w:hAnsi="IRBadr" w:cs="IRBadr" w:hint="cs"/>
          <w:sz w:val="28"/>
          <w:szCs w:val="28"/>
          <w:rtl/>
          <w:lang w:bidi="fa-IR"/>
        </w:rPr>
        <w:t>زی</w:t>
      </w:r>
      <w:bookmarkStart w:id="7" w:name="_GoBack"/>
      <w:bookmarkEnd w:id="7"/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ر در مواردی از گناهان در روایات </w:t>
      </w:r>
      <w:r w:rsidR="00576987" w:rsidRPr="0054003C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54003C">
        <w:rPr>
          <w:rFonts w:ascii="IRBadr" w:hAnsi="IRBadr" w:cs="IRBadr"/>
          <w:sz w:val="28"/>
          <w:szCs w:val="28"/>
          <w:rtl/>
          <w:lang w:bidi="fa-IR"/>
        </w:rPr>
        <w:t xml:space="preserve"> است و تعمیم آن امری دشوار است.</w:t>
      </w:r>
    </w:p>
    <w:p w:rsidR="00152670" w:rsidRPr="0054003C" w:rsidRDefault="00152670" w:rsidP="0054003C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54003C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C9" w:rsidRDefault="00AA2FC9" w:rsidP="000D5800">
      <w:pPr>
        <w:spacing w:after="0" w:line="240" w:lineRule="auto"/>
      </w:pPr>
      <w:r>
        <w:separator/>
      </w:r>
    </w:p>
  </w:endnote>
  <w:endnote w:type="continuationSeparator" w:id="0">
    <w:p w:rsidR="00AA2FC9" w:rsidRDefault="00AA2FC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C" w:rsidRDefault="006A4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1437379"/>
      <w:docPartObj>
        <w:docPartGallery w:val="Page Numbers (Bottom of Page)"/>
        <w:docPartUnique/>
      </w:docPartObj>
    </w:sdtPr>
    <w:sdtEndPr/>
    <w:sdtContent>
      <w:p w:rsidR="0054003C" w:rsidRDefault="00540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A1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A418C" w:rsidRDefault="006A4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C" w:rsidRDefault="006A4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C9" w:rsidRDefault="00AA2FC9" w:rsidP="0054003C">
      <w:pPr>
        <w:bidi/>
        <w:spacing w:after="0" w:line="240" w:lineRule="auto"/>
      </w:pPr>
      <w:r>
        <w:separator/>
      </w:r>
    </w:p>
  </w:footnote>
  <w:footnote w:type="continuationSeparator" w:id="0">
    <w:p w:rsidR="00AA2FC9" w:rsidRDefault="00AA2FC9" w:rsidP="000D5800">
      <w:pPr>
        <w:spacing w:after="0" w:line="240" w:lineRule="auto"/>
      </w:pPr>
      <w:r>
        <w:continuationSeparator/>
      </w:r>
    </w:p>
  </w:footnote>
  <w:footnote w:id="1">
    <w:p w:rsidR="00B4366F" w:rsidRDefault="00B4366F" w:rsidP="00B4366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BE1962">
        <w:rPr>
          <w:rFonts w:ascii="Noor_Titr" w:hAnsi="Noor_Titr" w:cs="B Badr" w:hint="cs"/>
          <w:color w:val="000000" w:themeColor="text1"/>
          <w:rtl/>
        </w:rPr>
        <w:t>مسال</w:t>
      </w:r>
      <w:r w:rsidR="006A418C">
        <w:rPr>
          <w:rFonts w:ascii="Noor_Titr" w:hAnsi="Noor_Titr" w:cs="B Badr" w:hint="cs"/>
          <w:color w:val="000000" w:themeColor="text1"/>
          <w:rtl/>
        </w:rPr>
        <w:t>ک</w:t>
      </w:r>
      <w:r w:rsidRPr="00BE1962">
        <w:rPr>
          <w:rFonts w:ascii="Noor_Titr" w:hAnsi="Noor_Titr" w:cs="B Badr" w:hint="cs"/>
          <w:color w:val="000000" w:themeColor="text1"/>
          <w:rtl/>
        </w:rPr>
        <w:t xml:space="preserve"> الأفهام إل</w:t>
      </w:r>
      <w:r w:rsidR="006A418C">
        <w:rPr>
          <w:rFonts w:ascii="Noor_Titr" w:hAnsi="Noor_Titr" w:cs="B Badr" w:hint="cs"/>
          <w:color w:val="000000" w:themeColor="text1"/>
          <w:rtl/>
        </w:rPr>
        <w:t>ی</w:t>
      </w:r>
      <w:r w:rsidRPr="00BE1962">
        <w:rPr>
          <w:rFonts w:ascii="Noor_Titr" w:hAnsi="Noor_Titr" w:cs="B Badr" w:hint="cs"/>
          <w:color w:val="000000" w:themeColor="text1"/>
          <w:rtl/>
        </w:rPr>
        <w:t xml:space="preserve"> تنق</w:t>
      </w:r>
      <w:r w:rsidR="006A418C">
        <w:rPr>
          <w:rFonts w:ascii="Noor_Titr" w:hAnsi="Noor_Titr" w:cs="B Badr" w:hint="cs"/>
          <w:color w:val="000000" w:themeColor="text1"/>
          <w:rtl/>
        </w:rPr>
        <w:t>ی</w:t>
      </w:r>
      <w:r w:rsidRPr="00BE1962">
        <w:rPr>
          <w:rFonts w:ascii="Noor_Titr" w:hAnsi="Noor_Titr" w:cs="B Badr" w:hint="cs"/>
          <w:color w:val="000000" w:themeColor="text1"/>
          <w:rtl/>
        </w:rPr>
        <w:t xml:space="preserve">ح شرائع الإسلام؛ </w:t>
      </w:r>
      <w:r w:rsidR="006A418C">
        <w:rPr>
          <w:rFonts w:ascii="Noor_Titr" w:hAnsi="Noor_Titr" w:cs="B Badr"/>
          <w:color w:val="000000" w:themeColor="text1"/>
          <w:rtl/>
        </w:rPr>
        <w:t>ج 9</w:t>
      </w:r>
      <w:r w:rsidRPr="00BE1962">
        <w:rPr>
          <w:rFonts w:ascii="Noor_Titr" w:hAnsi="Noor_Titr" w:cs="B Badr" w:hint="cs"/>
          <w:color w:val="000000" w:themeColor="text1"/>
          <w:rtl/>
        </w:rPr>
        <w:t>، ص: 345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C" w:rsidRDefault="006A4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4366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ABEFF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4366F">
      <w:rPr>
        <w:rFonts w:ascii="IranNastaliq" w:hAnsi="IranNastaliq" w:cs="IranNastaliq" w:hint="cs"/>
        <w:sz w:val="40"/>
        <w:szCs w:val="40"/>
        <w:rtl/>
        <w:lang w:bidi="fa-IR"/>
      </w:rPr>
      <w:t>828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C" w:rsidRDefault="006A4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35E9"/>
    <w:rsid w:val="00117955"/>
    <w:rsid w:val="00133E1D"/>
    <w:rsid w:val="0013469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7D8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4003C"/>
    <w:rsid w:val="00572E2D"/>
    <w:rsid w:val="00576987"/>
    <w:rsid w:val="00577232"/>
    <w:rsid w:val="00592103"/>
    <w:rsid w:val="005941DD"/>
    <w:rsid w:val="005A2931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A418C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464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5A1B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45946"/>
    <w:rsid w:val="00A5418D"/>
    <w:rsid w:val="00A725C2"/>
    <w:rsid w:val="00A769EE"/>
    <w:rsid w:val="00A810A5"/>
    <w:rsid w:val="00A9616A"/>
    <w:rsid w:val="00A96F68"/>
    <w:rsid w:val="00AA2342"/>
    <w:rsid w:val="00AA2FC9"/>
    <w:rsid w:val="00AD0304"/>
    <w:rsid w:val="00AD278F"/>
    <w:rsid w:val="00AD27BE"/>
    <w:rsid w:val="00AF0F1A"/>
    <w:rsid w:val="00AF6CE9"/>
    <w:rsid w:val="00B15027"/>
    <w:rsid w:val="00B21CF4"/>
    <w:rsid w:val="00B24300"/>
    <w:rsid w:val="00B4366F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70E1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0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0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2BE2-536D-4FC9-9C20-F18685D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</cp:revision>
  <dcterms:created xsi:type="dcterms:W3CDTF">2015-08-25T22:59:00Z</dcterms:created>
  <dcterms:modified xsi:type="dcterms:W3CDTF">2015-08-17T04:17:00Z</dcterms:modified>
</cp:coreProperties>
</file>