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5" w:rsidRPr="00093ADA" w:rsidRDefault="00E94F7F" w:rsidP="00FB19D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093ADA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151D55" w:rsidRPr="00093AD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151D55" w:rsidRPr="00093ADA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FB19D6" w:rsidRPr="00093ADA" w:rsidRDefault="00FB19D6" w:rsidP="00FB19D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</w:p>
    <w:p w:rsidR="00FB19D6" w:rsidRPr="00093ADA" w:rsidRDefault="00FB19D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93ADA">
        <w:rPr>
          <w:rFonts w:ascii="IRBadr" w:hAnsi="IRBadr" w:cs="IRBadr"/>
          <w:b/>
          <w:bCs/>
          <w:sz w:val="28"/>
          <w:rtl/>
        </w:rPr>
        <w:fldChar w:fldCharType="begin"/>
      </w:r>
      <w:r w:rsidRPr="00093ADA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093ADA">
        <w:rPr>
          <w:rFonts w:ascii="IRBadr" w:hAnsi="IRBadr" w:cs="IRBadr"/>
          <w:b/>
          <w:bCs/>
          <w:sz w:val="28"/>
        </w:rPr>
        <w:instrText>TOC</w:instrText>
      </w:r>
      <w:r w:rsidRPr="00093ADA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093ADA">
        <w:rPr>
          <w:rFonts w:ascii="IRBadr" w:hAnsi="IRBadr" w:cs="IRBadr"/>
          <w:b/>
          <w:bCs/>
          <w:sz w:val="28"/>
        </w:rPr>
        <w:instrText>o "</w:instrText>
      </w:r>
      <w:r w:rsidRPr="00093ADA">
        <w:rPr>
          <w:rFonts w:ascii="IRBadr" w:hAnsi="IRBadr" w:cs="IRBadr"/>
          <w:b/>
          <w:bCs/>
          <w:sz w:val="28"/>
          <w:rtl/>
        </w:rPr>
        <w:instrText>1-4</w:instrText>
      </w:r>
      <w:r w:rsidRPr="00093ADA">
        <w:rPr>
          <w:rFonts w:ascii="IRBadr" w:hAnsi="IRBadr" w:cs="IRBadr"/>
          <w:b/>
          <w:bCs/>
          <w:sz w:val="28"/>
        </w:rPr>
        <w:instrText>" \h \z \u</w:instrText>
      </w:r>
      <w:r w:rsidRPr="00093ADA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093ADA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281774" w:history="1">
        <w:r w:rsidRPr="00093ADA">
          <w:rPr>
            <w:rStyle w:val="Hyperlink"/>
            <w:rFonts w:ascii="IRBadr" w:hAnsi="IRBadr" w:cs="IRBadr"/>
            <w:noProof/>
            <w:rtl/>
          </w:rPr>
          <w:t>موارد دیگری از تعزیر</w:t>
        </w:r>
        <w:r w:rsidRPr="00093ADA">
          <w:rPr>
            <w:rFonts w:ascii="IRBadr" w:hAnsi="IRBadr" w:cs="IRBadr"/>
            <w:noProof/>
            <w:webHidden/>
          </w:rPr>
          <w:tab/>
        </w:r>
        <w:r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093ADA">
          <w:rPr>
            <w:rFonts w:ascii="IRBadr" w:hAnsi="IRBadr" w:cs="IRBadr"/>
            <w:noProof/>
            <w:webHidden/>
          </w:rPr>
          <w:instrText xml:space="preserve"> PAGEREF _Toc428281774 \h </w:instrText>
        </w:r>
        <w:r w:rsidRPr="00093ADA">
          <w:rPr>
            <w:rStyle w:val="Hyperlink"/>
            <w:rFonts w:ascii="IRBadr" w:hAnsi="IRBadr" w:cs="IRBadr"/>
            <w:noProof/>
            <w:rtl/>
          </w:rPr>
        </w:r>
        <w:r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093ADA">
          <w:rPr>
            <w:rFonts w:ascii="IRBadr" w:hAnsi="IRBadr" w:cs="IRBadr"/>
            <w:noProof/>
            <w:webHidden/>
          </w:rPr>
          <w:t>2</w:t>
        </w:r>
        <w:r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75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منابع بحث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_Toc428281775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2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76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اقوال در تعزیر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_Toc428281776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3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77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اقوال بر تفصیل در این باب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_Toc428281777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3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78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علل پیدایش اقوال این باب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_Toc428281778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3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79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استدلال بر تعمیم موارد تعزیر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_Toc428281779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4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80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_Toc428281780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4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81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برخی از موارد تعزیر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_Toc428281781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4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82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روایت اول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_Toc428281782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4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783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روایت دوم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_Toc428281783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5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84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مناقشه دوم در استدلال سابق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_Toc428281784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5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85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مناقشه دیگر به کلیت قاعده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_Toc428281785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6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86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ادله دیگر تعزیر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_Toc428281786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6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87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روایت اول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_Toc428281787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6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88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روایت دوم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_Toc428281788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7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89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روایت سوم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_Toc428281789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7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036956" w:rsidP="00FB19D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790" w:history="1">
        <w:r w:rsidR="00FB19D6" w:rsidRPr="00093ADA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FB19D6" w:rsidRPr="00093ADA">
          <w:rPr>
            <w:rFonts w:ascii="IRBadr" w:hAnsi="IRBadr" w:cs="IRBadr"/>
            <w:noProof/>
            <w:webHidden/>
          </w:rPr>
          <w:tab/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FB19D6" w:rsidRPr="00093ADA">
          <w:rPr>
            <w:rFonts w:ascii="IRBadr" w:hAnsi="IRBadr" w:cs="IRBadr"/>
            <w:noProof/>
            <w:webHidden/>
          </w:rPr>
          <w:instrText xml:space="preserve"> PAGEREF _Toc428281790 \h </w:instrText>
        </w:r>
        <w:r w:rsidR="00FB19D6" w:rsidRPr="00093ADA">
          <w:rPr>
            <w:rStyle w:val="Hyperlink"/>
            <w:rFonts w:ascii="IRBadr" w:hAnsi="IRBadr" w:cs="IRBadr"/>
            <w:noProof/>
            <w:rtl/>
          </w:rPr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FB19D6" w:rsidRPr="00093ADA">
          <w:rPr>
            <w:rFonts w:ascii="IRBadr" w:hAnsi="IRBadr" w:cs="IRBadr"/>
            <w:noProof/>
            <w:webHidden/>
          </w:rPr>
          <w:t>7</w:t>
        </w:r>
        <w:r w:rsidR="00FB19D6" w:rsidRPr="00093AD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B19D6" w:rsidRPr="00093ADA" w:rsidRDefault="00FB19D6" w:rsidP="00FB19D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FB19D6" w:rsidRPr="00093ADA" w:rsidRDefault="00FB19D6" w:rsidP="00FB19D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093ADA" w:rsidRDefault="00093AD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8281774"/>
      <w:r>
        <w:rPr>
          <w:rFonts w:ascii="IRBadr" w:hAnsi="IRBadr" w:cs="IRBadr"/>
          <w:rtl/>
        </w:rPr>
        <w:br w:type="page"/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r w:rsidRPr="00093ADA">
        <w:rPr>
          <w:rFonts w:ascii="IRBadr" w:hAnsi="IRBadr" w:cs="IRBadr"/>
          <w:rtl/>
        </w:rPr>
        <w:lastRenderedPageBreak/>
        <w:t>موارد دیگر</w:t>
      </w:r>
      <w:r w:rsidR="0001193A" w:rsidRPr="00093ADA">
        <w:rPr>
          <w:rFonts w:ascii="IRBadr" w:hAnsi="IRBadr" w:cs="IRBadr"/>
          <w:rtl/>
        </w:rPr>
        <w:t>ی از</w:t>
      </w:r>
      <w:r w:rsidRPr="00093ADA">
        <w:rPr>
          <w:rFonts w:ascii="IRBadr" w:hAnsi="IRBadr" w:cs="IRBadr"/>
          <w:rtl/>
        </w:rPr>
        <w:t xml:space="preserve"> تعزیر</w:t>
      </w:r>
      <w:bookmarkEnd w:id="1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متن مسئله پنجم این بود که؛</w:t>
      </w:r>
    </w:p>
    <w:p w:rsidR="00151D55" w:rsidRPr="00093ADA" w:rsidRDefault="00151D55" w:rsidP="00FB19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«الخامس: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 من تر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واجباً أو ارت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 حراماً فللإمام (عل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 السّلام) و نائبه تعز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ره بشرط أن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 من ال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بائر، و التعز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دون الحدّ، و حدّه بنظر الحا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م، و الأحوط له ف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ما لم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دلّ دل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 عل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التقد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عدم التجاوز عن أقلّ الحدود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البته طبق قاعده مناسب بود که این بحث را به پایان مباحث حدود ارجاع می‌دادند و در پایان بحث حدود، فصلی را قرار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می‌دادند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و به بحث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 xml:space="preserve"> تعزیر می‌پرداختند. نه اینکه در و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سط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مباحث این بحث به بحث تعزیر بپردازند،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کما اینکه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در مبانی تکمله آقای خویی بدین نحو است.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طرف دیگر این مسئله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یکی از قواعد فقهی و از قواعد مهم فقه است.</w:t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bookmarkStart w:id="2" w:name="_Toc428281775"/>
      <w:r w:rsidRPr="00093ADA">
        <w:rPr>
          <w:rFonts w:ascii="IRBadr" w:hAnsi="IRBadr" w:cs="IRBadr"/>
          <w:rtl/>
        </w:rPr>
        <w:t>منابع بحث</w:t>
      </w:r>
      <w:bookmarkEnd w:id="2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مصادر بحث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به‌این‌ترتیب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است؛ جواهر، جلد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، صفحه چهارصد و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ـ تفسیر الشریعه جناب آقای فاضل، صفحه چهارصد و هیجده ـ در المنظور، جلد دوم،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صد و پنجاه و دویست و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نودوچهار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ـ ریاض چاپ‌های جدید، جلد سیزده، صفحه چهارصد و سی ـ جامع المدارک، جلد هفتم، صفحه سیصد و چهارده ـ مبانی و </w:t>
      </w:r>
      <w:r w:rsidR="00093ADA">
        <w:rPr>
          <w:rFonts w:ascii="IRBadr" w:hAnsi="IRBadr" w:cs="IRBadr"/>
          <w:sz w:val="28"/>
          <w:szCs w:val="28"/>
          <w:rtl/>
          <w:lang w:bidi="fa-IR"/>
        </w:rPr>
        <w:t>تکمله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مرحوم آقای خویی، جلد یک، صفحه دویست و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سی‌وهفت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ـ اسس الحدود و التعزیرات حضرت آقای تبریزی حفظه الله، صفحه دویست و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هفتادویک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ـ مبانی </w:t>
      </w:r>
      <w:r w:rsidR="00093ADA">
        <w:rPr>
          <w:rFonts w:ascii="IRBadr" w:hAnsi="IRBadr" w:cs="IRBadr"/>
          <w:sz w:val="28"/>
          <w:szCs w:val="28"/>
          <w:rtl/>
          <w:lang w:bidi="fa-IR"/>
        </w:rPr>
        <w:t>تحریرالوسیله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جناب آقای مؤمن که شرح </w:t>
      </w:r>
      <w:r w:rsidR="00093ADA">
        <w:rPr>
          <w:rFonts w:ascii="IRBadr" w:hAnsi="IRBadr" w:cs="IRBadr"/>
          <w:sz w:val="28"/>
          <w:szCs w:val="28"/>
          <w:rtl/>
          <w:lang w:bidi="fa-IR"/>
        </w:rPr>
        <w:t>تحریرالوسیله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در صفحه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هشتاد و پانصد و هیجده.</w:t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bookmarkStart w:id="3" w:name="_Toc428281776"/>
      <w:r w:rsidRPr="00093ADA">
        <w:rPr>
          <w:rFonts w:ascii="IRBadr" w:hAnsi="IRBadr" w:cs="IRBadr"/>
          <w:rtl/>
        </w:rPr>
        <w:t>اقوال در تعزیر</w:t>
      </w:r>
      <w:bookmarkEnd w:id="3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یک قول این بود که تعزیر در مطلق معاصی و گناهان، ثابت است.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معاصرین ظاهر کلام آقای خویی در همین نظر است.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دوم که بی اشتهار نیست قائل است؛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تنها در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کبایر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ثابت است که در معاصرین نظر آقای فاضل بر همین است.</w:t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قول سوم این است که در </w:t>
      </w:r>
      <w:r w:rsidR="00093ADA">
        <w:rPr>
          <w:rFonts w:ascii="IRBadr" w:hAnsi="IRBadr" w:cs="IRBadr"/>
          <w:sz w:val="28"/>
          <w:szCs w:val="28"/>
          <w:rtl/>
          <w:lang w:bidi="fa-IR"/>
        </w:rPr>
        <w:t>کبایر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093ADA">
        <w:rPr>
          <w:rFonts w:ascii="IRBadr" w:hAnsi="IRBadr" w:cs="IRBadr"/>
          <w:sz w:val="28"/>
          <w:szCs w:val="28"/>
          <w:rtl/>
          <w:lang w:bidi="fa-IR"/>
        </w:rPr>
        <w:t>صغایری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که از غیر مرتکب </w:t>
      </w:r>
      <w:r w:rsidR="00093ADA">
        <w:rPr>
          <w:rFonts w:ascii="IRBadr" w:hAnsi="IRBadr" w:cs="IRBadr"/>
          <w:sz w:val="28"/>
          <w:szCs w:val="28"/>
          <w:rtl/>
          <w:lang w:bidi="fa-IR"/>
        </w:rPr>
        <w:t>کبایر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صادر می‌شود، تعزیر ثابت است،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کلام صاحب جواهر و آقای مؤمن این است که این را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. قول چهارم که ظاهر کشف اللثام است،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؛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با گفتن و توبیخ خودش را منع نمی‌کند و از گناه دست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برنمی‌دارد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، جای تعزیر حاکم است. قول پنجم این است که ما قاعده را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قبول نداریم.</w:t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bookmarkStart w:id="4" w:name="_Toc428281777"/>
      <w:r w:rsidRPr="00093ADA">
        <w:rPr>
          <w:rFonts w:ascii="IRBadr" w:hAnsi="IRBadr" w:cs="IRBadr"/>
          <w:rtl/>
        </w:rPr>
        <w:lastRenderedPageBreak/>
        <w:t>اقوال بر تفصیل در این باب</w:t>
      </w:r>
      <w:bookmarkEnd w:id="4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اقوال در اینجا وجود دارد که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قول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نامیدشان که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؛ طبق یکی از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در گناهانی که در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ایذاء افراد و مسلمین است،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ثابت است و در قولی دیگر گناهانی که موجب اخلال نظام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را مستوجب تعزیر قرار داده است که ظاهر کلام آقای تبریزی همین است.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قبال این دو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گفت که از موارد مسلم و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هستند و بحثی در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bookmarkStart w:id="5" w:name="_Toc428281778"/>
      <w:r w:rsidRPr="00093ADA">
        <w:rPr>
          <w:rFonts w:ascii="IRBadr" w:hAnsi="IRBadr" w:cs="IRBadr"/>
          <w:rtl/>
        </w:rPr>
        <w:t>علل پیدایش اقوال این باب</w:t>
      </w:r>
      <w:bookmarkEnd w:id="5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در مواردی که در شریعت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بدان‌ها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تصریح‌شده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 حدود پنجاه مورد تعزیر و نزدیک به هشت مورد حد داریم. سؤالی در اینجا وجود دارد که اگر آن مثبت باشد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به این اقوال دامن زد که آیا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به‌غیراز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مواردی که در آن به حد یا تعزیر ثابت است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گفت تعزیر ثابت است یا خیر؟</w:t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bookmarkStart w:id="6" w:name="_Toc428281779"/>
      <w:r w:rsidRPr="00093ADA">
        <w:rPr>
          <w:rFonts w:ascii="IRBadr" w:hAnsi="IRBadr" w:cs="IRBadr"/>
          <w:rtl/>
        </w:rPr>
        <w:t>استدلال بر تعمیم موارد تعزیر</w:t>
      </w:r>
      <w:bookmarkEnd w:id="6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از کلام علامه مجلسی و ارشاد محقق اربیلی استفاده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که موردها خصوصیتی نداشته و ثبوت تعزیر به همان قاعده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کلیه‌ای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که بدان اشاره شد.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تعزیر را به موارد دیگر نیز تعمیم دهیم.</w:t>
      </w:r>
    </w:p>
    <w:p w:rsidR="00151D55" w:rsidRPr="00093ADA" w:rsidRDefault="00151D55" w:rsidP="00FB19D6">
      <w:pPr>
        <w:pStyle w:val="Heading1"/>
        <w:rPr>
          <w:rFonts w:ascii="IRBadr" w:hAnsi="IRBadr" w:cs="IRBadr"/>
          <w:rtl/>
        </w:rPr>
      </w:pPr>
      <w:bookmarkStart w:id="7" w:name="_Toc428281780"/>
      <w:r w:rsidRPr="00093ADA">
        <w:rPr>
          <w:rFonts w:ascii="IRBadr" w:hAnsi="IRBadr" w:cs="IRBadr"/>
          <w:rtl/>
        </w:rPr>
        <w:t>مناقشه در استدلال فوق</w:t>
      </w:r>
      <w:bookmarkEnd w:id="7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گرچه متأخرین آن را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اما برخی جواب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موارد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به تعزیر، احتمال عنایت مورد را نفی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در قبال برخی موارد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گفت به خاطر مورد بوده و القای خصوصیت شده است.</w:t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صاحب مدارک گفته است؛</w:t>
      </w:r>
    </w:p>
    <w:p w:rsidR="00151D55" w:rsidRPr="00093ADA" w:rsidRDefault="00151D55" w:rsidP="00FB19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«أنّ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 ذنب غ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موجب للحدّ موجب للتعز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ر، و لا نصّ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ظاهراً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عل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ة، نعم قد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وجد ف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بعض الأخبار ما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فهم‌ها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منه» 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151D55" w:rsidRPr="00093ADA" w:rsidRDefault="00151D55" w:rsidP="00FB19D6">
      <w:pPr>
        <w:pStyle w:val="Heading2"/>
        <w:rPr>
          <w:rFonts w:ascii="IRBadr" w:hAnsi="IRBadr" w:cs="IRBadr"/>
          <w:rtl/>
        </w:rPr>
      </w:pPr>
      <w:bookmarkStart w:id="8" w:name="_Toc428281781"/>
      <w:r w:rsidRPr="00093ADA">
        <w:rPr>
          <w:rFonts w:ascii="IRBadr" w:hAnsi="IRBadr" w:cs="IRBadr"/>
          <w:rtl/>
        </w:rPr>
        <w:lastRenderedPageBreak/>
        <w:t>برخی از موارد تعزیر</w:t>
      </w:r>
      <w:bookmarkEnd w:id="8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در قبال تعزیر روایاتی وجود دارد که متناسب با بحث برخی از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را ذکر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151D55" w:rsidRPr="00093ADA" w:rsidRDefault="00151D55" w:rsidP="00FB19D6">
      <w:pPr>
        <w:pStyle w:val="Heading2"/>
        <w:rPr>
          <w:rFonts w:ascii="IRBadr" w:hAnsi="IRBadr" w:cs="IRBadr"/>
          <w:rtl/>
        </w:rPr>
      </w:pPr>
      <w:bookmarkStart w:id="9" w:name="_Toc428281782"/>
      <w:r w:rsidRPr="00093ADA">
        <w:rPr>
          <w:rFonts w:ascii="IRBadr" w:hAnsi="IRBadr" w:cs="IRBadr"/>
          <w:rtl/>
        </w:rPr>
        <w:t>روایت اول</w:t>
      </w:r>
      <w:bookmarkEnd w:id="9"/>
    </w:p>
    <w:p w:rsidR="00151D55" w:rsidRPr="00093ADA" w:rsidRDefault="00151D55" w:rsidP="00FB19D6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الْحُسَ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سَعِ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عَنِ الْحَسَنِ عَنْ زُرْعَةَ عَنْ سَمَاعَةَ قَالَ قَالَ: إِنَّ شُهُودَ الزُّورِ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جْلَدُونَ جَلْداً لَ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لَهُ وَقْتٌ وَ ذَا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إِلَ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الْإِمَامِ وَ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طَافُ بِهِمْ حَتَّ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عْرِفَهُمُ النَّاسُ وَ أَمَّا قَوْلُ اللَّهِ عَزَّ وَ جَلَّ- وَ لٰا تَقْبَلُوا لَهُمْ شَهٰادَةً أَبَداً ... إِلَّا الَّذِ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تٰابُوا قُلْتُ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 تُعْرَفُ تَوْبَتُهُ قَالَ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ذِبُ نَفْسَهُ حَ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ثُ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ضْرَبُ وَ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سْتَغْفِرُ رَبَّهُ فَإِذَا فَعَلَ ذَلِ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فَقَدْ ظَهَرَتْ تَوْبَتُهُ.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3"/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این‌ها را در شهر می‌چرخانند. برای اینکه مردم آشنا بشوند که این‌ها شاهدان باطلی هستند.</w:t>
      </w:r>
    </w:p>
    <w:p w:rsidR="00151D55" w:rsidRPr="00093ADA" w:rsidRDefault="00151D55" w:rsidP="00FB19D6">
      <w:pPr>
        <w:pStyle w:val="Heading2"/>
        <w:rPr>
          <w:rFonts w:ascii="IRBadr" w:hAnsi="IRBadr" w:cs="IRBadr"/>
          <w:rtl/>
        </w:rPr>
      </w:pPr>
      <w:bookmarkStart w:id="10" w:name="_Toc428281783"/>
      <w:r w:rsidRPr="00093ADA">
        <w:rPr>
          <w:rFonts w:ascii="IRBadr" w:hAnsi="IRBadr" w:cs="IRBadr"/>
          <w:rtl/>
        </w:rPr>
        <w:t>روایت دوم</w:t>
      </w:r>
      <w:bookmarkEnd w:id="10"/>
    </w:p>
    <w:p w:rsidR="00151D55" w:rsidRPr="00093ADA" w:rsidRDefault="00151D55" w:rsidP="00FB19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عَنْ صَالِحِ بْنِ سَعِ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بَعْضِ أَصْحَابِهِ عَنْ مَنْصُورِ بْنِ حَازِمٍ عَنْ أَبِ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سَأَلْتُهُ عَنْ رَجُلٍ تَزَوَّجَ ذِمِّ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ةً عَلَ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مُسْلِمَةٍ وَ لَمْ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سْتَأْمِرْهَا قَالَ وَ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فَرَّقُ بَ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نَهُمَا قَالَ فَقُلْتُ فَعَلَ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أَدَبٌ قَالَ نَعَمْ اثْنَا عَشَرَ سَوْطاً وَ نِصْفٌ ثُمُنُ حَدِّ الزَّانِ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هُوَ صَاغِرٌ قُلْتُ فَإِنْ رَضِ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تِ الْمَرْأَةُ الْحُرَّةُ الْمُسْلِمَةُ بِفِعْلِهِ بَعْدَ مَا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فَعَلَ قَالَ لَا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ضْرَبُ وَ لَا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فَرَّقُ بَ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نَهُمَا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بْقَ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انِ عَلَ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النِّ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احِ الْأَوَّلِ.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کسی است که زن اهل کتاب ذمی گرفته است،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زن مسلمانی دارد و از او اجازه نگرفته است.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یکی از موارد لزوم اجازه در همین بخش است و روایات دیگری که در این باب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در قبال تعزیر گاهی تعبیر به خود آن،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تأدیب و گاهی حد است؛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توضیحاتی که درباره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چندمعنای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حد گذشت.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تعدادی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از این روایات معتبر و برخی نامعتبرند. محقق اردبیلی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موارد را کامل در شرح ارشاد آورده است.</w:t>
      </w:r>
    </w:p>
    <w:p w:rsidR="00151D55" w:rsidRPr="00093ADA" w:rsidRDefault="00151D55" w:rsidP="00FB19D6">
      <w:pPr>
        <w:pStyle w:val="Heading3"/>
        <w:rPr>
          <w:rFonts w:ascii="IRBadr" w:hAnsi="IRBadr" w:cs="IRBadr"/>
          <w:rtl/>
        </w:rPr>
      </w:pPr>
      <w:bookmarkStart w:id="11" w:name="_Toc428281784"/>
      <w:r w:rsidRPr="00093ADA">
        <w:rPr>
          <w:rFonts w:ascii="IRBadr" w:hAnsi="IRBadr" w:cs="IRBadr"/>
          <w:rtl/>
        </w:rPr>
        <w:lastRenderedPageBreak/>
        <w:t>مناقشه دوم در استدلال سابق</w:t>
      </w:r>
      <w:bookmarkEnd w:id="11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اگر موارد تعزیر را در کنار یکدیگر قرار دهیم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به این القاء خصوصیت رسید که ملاک در بسیاری از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ایذاء در درجه بالا است،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مقدار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باقی‌مانده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در همه موارد از اعتبار سندی چندانی برخوردار نیست،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تعداد چندان زیاد نیست که بتوان القاء خصوصیت نمود.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مواردی که از آن القای خصوصیت شد چندان جدای از یکدیگر نیست که نتوان القای خصوصیت نمود و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کلی به دست آورد.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اینکه بتوان از این موارد ایذاء به ثبوت تعزیر در هر معصیت رسید امری بعید است.</w:t>
      </w:r>
    </w:p>
    <w:p w:rsidR="00151D55" w:rsidRPr="00093ADA" w:rsidRDefault="00151D55" w:rsidP="00FB19D6">
      <w:pPr>
        <w:pStyle w:val="Heading3"/>
        <w:rPr>
          <w:rFonts w:ascii="IRBadr" w:hAnsi="IRBadr" w:cs="IRBadr"/>
          <w:rtl/>
        </w:rPr>
      </w:pPr>
      <w:bookmarkStart w:id="12" w:name="_Toc428281785"/>
      <w:r w:rsidRPr="00093ADA">
        <w:rPr>
          <w:rFonts w:ascii="IRBadr" w:hAnsi="IRBadr" w:cs="IRBadr"/>
          <w:rtl/>
        </w:rPr>
        <w:t>مناقشه دیگر به کلیت قاعده</w:t>
      </w:r>
      <w:bookmarkEnd w:id="12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ممکن است در اینجا با تفسیر وسیعی که برای قاعده درع وجود دارد و موارد تعزیر را دربر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؛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قاعده مانع از این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که بشود موارد تعزیر را به این نحو کلی قرار دهیم.</w:t>
      </w:r>
    </w:p>
    <w:p w:rsidR="00151D55" w:rsidRPr="00093ADA" w:rsidRDefault="00151D55" w:rsidP="00FB19D6">
      <w:pPr>
        <w:pStyle w:val="Heading4"/>
        <w:ind w:firstLine="0"/>
        <w:rPr>
          <w:rFonts w:ascii="IRBadr" w:hAnsi="IRBadr" w:cs="IRBadr"/>
          <w:rtl/>
        </w:rPr>
      </w:pPr>
      <w:bookmarkStart w:id="13" w:name="_Toc428281786"/>
      <w:r w:rsidRPr="00093ADA">
        <w:rPr>
          <w:rFonts w:ascii="IRBadr" w:hAnsi="IRBadr" w:cs="IRBadr"/>
          <w:rtl/>
        </w:rPr>
        <w:t>ادله دیگر تعزیر</w:t>
      </w:r>
      <w:bookmarkEnd w:id="13"/>
    </w:p>
    <w:p w:rsidR="00151D55" w:rsidRPr="00093ADA" w:rsidRDefault="00151D55" w:rsidP="00FB19D6">
      <w:pPr>
        <w:pStyle w:val="Heading4"/>
        <w:ind w:firstLine="0"/>
        <w:rPr>
          <w:rFonts w:ascii="IRBadr" w:hAnsi="IRBadr" w:cs="IRBadr"/>
          <w:rtl/>
        </w:rPr>
      </w:pPr>
      <w:bookmarkStart w:id="14" w:name="_Toc428281787"/>
      <w:r w:rsidRPr="00093ADA">
        <w:rPr>
          <w:rFonts w:ascii="IRBadr" w:hAnsi="IRBadr" w:cs="IRBadr"/>
          <w:rtl/>
        </w:rPr>
        <w:t>روایت اول</w:t>
      </w:r>
      <w:bookmarkEnd w:id="14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در اینجا دلیلی مشترک وجود دارد که سند این روایت معتبر است؛</w:t>
      </w:r>
    </w:p>
    <w:p w:rsidR="00151D55" w:rsidRPr="00093ADA" w:rsidRDefault="00151D55" w:rsidP="00FB19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أَحْمَدَ بْنِ مُحَمَّدِ بْنِ عِ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الْحُسَ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سَعِ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فَضَالَةَ بْنِ أَ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وبَ عَنْ دَاوُدَ بْنِ فَرْقَدٍ قَالَ سَمِعْتُ أَبَا عَبْدِ اللَّهِ ع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إِنَّ أَصْحَابَ النَّبِ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قَالُوا لِسَعْدِ بْنِ عُبَادَةَ أَ رَأَ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 لَوْ وَجَدْتَ عَلَ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بَطْنِ امْرَأَتِ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رَجُلًا مَا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نْتَ صَانِعاً بِهِ قَالَ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نْتُ أَضْرِبُهُ بِالسَّ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فِ قَالَ فَخَرَجَ رَسُولُ اللَّهِ ص فَقَالَ مَا ذَا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سَعْدُ قَالَ سَعْدٌ قَالُوا لَوْ وَجَدْتَ عَلَ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بَطْنِ امْرَأَتِ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رَجُلًا مَا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نْتَ تَصْنَعُ بِهِ فَقُلْتُ أَضْرِبُهُ بِالسَّ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فِ فَقَالَ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 سَعْدُ وَ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فَ بِالْأَرْبَعَةِ الشُّهُودِ فَقَالَ 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رَسُولَ اللَّهِ بَعْدَ رَأْ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عِلْمِ اللَّهِ أَنَّهُ قَدْ فَعَلَ قَالَ إِ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اللَّهِ بَعْدَ رَأْ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عِلْمِ اللَّهِ أَنَّهُ قَدْ فَعَلَ لِأَنَّ اللَّهَ عَزَّ وَ جَلَّ قَدْ جَعَلَ لِ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شَ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حَدّاً وَ جَعَلَ لِمَنْ تَعَدَّ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ذَلِ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الْحَدَّ حَدّاً.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و برای کسانی که از این مرز الهی عبور کنند یک عقوبتی مقرر کرده است.</w:t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اما به نحو خاص چند روایت است که بعضی از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معتبرند و در جلد هیجده، ابواب مقدمات حدود، باب دوم، صفحه سیصد و ده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1D55" w:rsidRPr="00093ADA" w:rsidRDefault="00151D55" w:rsidP="00FB19D6">
      <w:pPr>
        <w:pStyle w:val="Heading4"/>
        <w:ind w:firstLine="0"/>
        <w:rPr>
          <w:rFonts w:ascii="IRBadr" w:hAnsi="IRBadr" w:cs="IRBadr"/>
          <w:rtl/>
        </w:rPr>
      </w:pPr>
      <w:bookmarkStart w:id="15" w:name="_Toc428281788"/>
      <w:r w:rsidRPr="00093ADA">
        <w:rPr>
          <w:rFonts w:ascii="IRBadr" w:hAnsi="IRBadr" w:cs="IRBadr"/>
          <w:rtl/>
        </w:rPr>
        <w:lastRenderedPageBreak/>
        <w:t>روایت دوم</w:t>
      </w:r>
      <w:bookmarkEnd w:id="15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روایت دوم با سندی متفاوت مضمونی قریب به روایت فوق دارد؛</w:t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أَحْمَدَ بْنِ مُحَمَّدِ بْنِ خَالِدٍ عَنْ عَمْرِو بْنِ عُثْمَانَ عَنْ عَلِ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[الْحَسَنِ بْنِ عَلِ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بْنِ] رِبَاطٍ عَنْ أَبِ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قَالَ النَّبِ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لِسَعْدِ بْنِ عُبَادَةَ إِنَّ اللَّهَ جَعَلَ لِ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لِّ شَ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حَدّاً وَ جَعَلَ عَلَ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مَنْ تَعَدَّ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حَدّاً مِنْ حُدُودِ اللَّهِ عَزَّ وَ جَلَّ حَدّاً وَ جَعَلَ مَا دُونَ الْأَرْبَعَةِ الشُّهَدَاءِ مَسْتُوراً عَلَ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الْمُسْلِمِ</w:t>
      </w:r>
      <w:r w:rsidR="0001193A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نَ.» 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6"/>
      </w:r>
    </w:p>
    <w:p w:rsidR="00151D55" w:rsidRPr="00093ADA" w:rsidRDefault="00151D55" w:rsidP="00FB19D6">
      <w:pPr>
        <w:pStyle w:val="Heading4"/>
        <w:ind w:firstLine="0"/>
        <w:rPr>
          <w:rFonts w:ascii="IRBadr" w:hAnsi="IRBadr" w:cs="IRBadr"/>
          <w:rtl/>
        </w:rPr>
      </w:pPr>
      <w:bookmarkStart w:id="16" w:name="_Toc428281789"/>
      <w:r w:rsidRPr="00093ADA">
        <w:rPr>
          <w:rFonts w:ascii="IRBadr" w:hAnsi="IRBadr" w:cs="IRBadr"/>
          <w:rtl/>
        </w:rPr>
        <w:t>روایت سوم</w:t>
      </w:r>
      <w:bookmarkEnd w:id="16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روایت دیگری نیز در این زمینه وجود دارد که دارای سند معتبری است؛</w:t>
      </w:r>
    </w:p>
    <w:p w:rsidR="00151D55" w:rsidRPr="00093ADA" w:rsidRDefault="0001193A" w:rsidP="00FB19D6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مُحَمَّدُ بْنُ 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مُحَمَّدِ بْنِ عِ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عُثْمَانَ بْنِ عِ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سَمَاعَةَ عَنْ أَبِ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إِنَّ لِ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 شَ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‌ءٍ حَدّاً وَ مَنْ تَعَدَّ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ذَلِ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الْحَدَّ </w:t>
      </w:r>
      <w:r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لَهُ حَدٌّ.» </w:t>
      </w:r>
      <w:r w:rsidR="00151D55" w:rsidRPr="00093ADA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7"/>
      </w:r>
    </w:p>
    <w:p w:rsidR="00151D55" w:rsidRPr="00093ADA" w:rsidRDefault="00151D55" w:rsidP="00FB19D6">
      <w:pPr>
        <w:pStyle w:val="Heading4"/>
        <w:ind w:firstLine="0"/>
        <w:rPr>
          <w:rFonts w:ascii="IRBadr" w:hAnsi="IRBadr" w:cs="IRBadr"/>
          <w:rtl/>
        </w:rPr>
      </w:pPr>
      <w:bookmarkStart w:id="17" w:name="_Toc428281790"/>
      <w:r w:rsidRPr="00093ADA">
        <w:rPr>
          <w:rFonts w:ascii="IRBadr" w:hAnsi="IRBadr" w:cs="IRBadr"/>
          <w:rtl/>
        </w:rPr>
        <w:t>روایت چهارم</w:t>
      </w:r>
      <w:bookmarkEnd w:id="17"/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>دلالت این روایت از قوت چندانی برخوردار نیست؛</w:t>
      </w:r>
    </w:p>
    <w:p w:rsidR="00151D55" w:rsidRPr="00093ADA" w:rsidRDefault="00151D55" w:rsidP="00FB19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«بِهَذَا الْإِسْنَادِ قَالَ قَالَ رَسُولُ اللَّهِ ص مَنْ بَلَغَ حَدّاً فِ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غَ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حَدٍّ فَهُوَ مِنَ الْمُعْتَدِ</w:t>
      </w:r>
      <w:r w:rsidR="0001193A"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نَ.»</w:t>
      </w:r>
      <w:r w:rsidRPr="00093AD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8"/>
      </w:r>
    </w:p>
    <w:p w:rsidR="00151D55" w:rsidRPr="00093ADA" w:rsidRDefault="00151D55" w:rsidP="00FB19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 که مراد از حد مطلق العقوبة است،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هم حد و هم تعزیر را دربرمی گیرد.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استدلال محل مناقشه </w:t>
      </w:r>
      <w:r w:rsidR="00E94F7F" w:rsidRPr="00093ADA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 xml:space="preserve"> است. و عمدتاً مرحوم آقای گلپایگانی این مناقشه را </w:t>
      </w:r>
      <w:r w:rsidR="0001193A" w:rsidRPr="00093ADA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093AD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093ADA" w:rsidRDefault="00152670" w:rsidP="00FB19D6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093ADA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6" w:rsidRDefault="00036956" w:rsidP="000D5800">
      <w:pPr>
        <w:spacing w:after="0" w:line="240" w:lineRule="auto"/>
      </w:pPr>
      <w:r>
        <w:separator/>
      </w:r>
    </w:p>
  </w:endnote>
  <w:endnote w:type="continuationSeparator" w:id="0">
    <w:p w:rsidR="00036956" w:rsidRDefault="0003695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24206498"/>
      <w:docPartObj>
        <w:docPartGallery w:val="Page Numbers (Bottom of Page)"/>
        <w:docPartUnique/>
      </w:docPartObj>
    </w:sdtPr>
    <w:sdtEndPr/>
    <w:sdtContent>
      <w:p w:rsidR="00FB19D6" w:rsidRDefault="00FB1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A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B19D6" w:rsidRDefault="00FB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6" w:rsidRDefault="00036956" w:rsidP="00FB19D6">
      <w:pPr>
        <w:bidi/>
        <w:spacing w:after="0" w:line="240" w:lineRule="auto"/>
      </w:pPr>
      <w:r>
        <w:separator/>
      </w:r>
    </w:p>
  </w:footnote>
  <w:footnote w:type="continuationSeparator" w:id="0">
    <w:p w:rsidR="00036956" w:rsidRDefault="00036956" w:rsidP="000D5800">
      <w:pPr>
        <w:spacing w:after="0" w:line="240" w:lineRule="auto"/>
      </w:pPr>
      <w:r>
        <w:continuationSeparator/>
      </w:r>
    </w:p>
  </w:footnote>
  <w:footnote w:id="1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تفص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ل الشر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عة 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شرح تحر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ر الوس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لة - الحدود؛ ص: 417</w:t>
      </w:r>
    </w:p>
  </w:footnote>
  <w:footnote w:id="2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جامع المدار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شرح مختصر النافع؛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7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 114</w:t>
      </w:r>
    </w:p>
  </w:footnote>
  <w:footnote w:id="3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تهذ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6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 263</w:t>
      </w:r>
    </w:p>
  </w:footnote>
  <w:footnote w:id="4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ال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7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 241</w:t>
      </w:r>
    </w:p>
  </w:footnote>
  <w:footnote w:id="5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ال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7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 176</w:t>
      </w:r>
    </w:p>
  </w:footnote>
  <w:footnote w:id="6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ال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7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ص:174</w:t>
      </w:r>
    </w:p>
  </w:footnote>
  <w:footnote w:id="7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ال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7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 175</w:t>
      </w:r>
    </w:p>
  </w:footnote>
  <w:footnote w:id="8">
    <w:p w:rsidR="00151D55" w:rsidRPr="00FB19D6" w:rsidRDefault="00151D55" w:rsidP="00151D55">
      <w:pPr>
        <w:pStyle w:val="FootnoteText"/>
        <w:rPr>
          <w:rFonts w:ascii="IRBadr" w:hAnsi="IRBadr" w:cs="IRBadr"/>
          <w:b/>
          <w:bCs/>
          <w:rtl/>
        </w:rPr>
      </w:pPr>
      <w:r w:rsidRPr="00FB19D6">
        <w:rPr>
          <w:rStyle w:val="FootnoteReference"/>
          <w:rFonts w:ascii="IRBadr" w:hAnsi="IRBadr" w:cs="IRBadr"/>
          <w:b/>
          <w:bCs/>
        </w:rPr>
        <w:footnoteRef/>
      </w:r>
      <w:r w:rsidRPr="00FB19D6">
        <w:rPr>
          <w:rFonts w:ascii="IRBadr" w:hAnsi="IRBadr" w:cs="IRBadr"/>
          <w:b/>
          <w:bCs/>
        </w:rPr>
        <w:t xml:space="preserve"> 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ال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ک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اف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ی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01193A" w:rsidRPr="00FB19D6">
        <w:rPr>
          <w:rFonts w:ascii="IRBadr" w:hAnsi="IRBadr" w:cs="IRBadr"/>
          <w:b/>
          <w:bCs/>
          <w:color w:val="000000" w:themeColor="text1"/>
          <w:rtl/>
        </w:rPr>
        <w:t>ج 7</w:t>
      </w:r>
      <w:r w:rsidRPr="00FB19D6">
        <w:rPr>
          <w:rFonts w:ascii="IRBadr" w:hAnsi="IRBadr" w:cs="IRBadr"/>
          <w:b/>
          <w:bCs/>
          <w:color w:val="000000" w:themeColor="text1"/>
          <w:rtl/>
        </w:rPr>
        <w:t>، ص: 268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1193A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3C6BD0" wp14:editId="0F00C70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593D3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2BE047C9" wp14:editId="562EC79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1193A">
      <w:rPr>
        <w:rFonts w:ascii="IranNastaliq" w:hAnsi="IranNastaliq" w:cs="IranNastaliq" w:hint="cs"/>
        <w:sz w:val="40"/>
        <w:szCs w:val="40"/>
        <w:rtl/>
        <w:lang w:bidi="fa-IR"/>
      </w:rPr>
      <w:t>829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36956"/>
    <w:rsid w:val="00041FE0"/>
    <w:rsid w:val="00052BA3"/>
    <w:rsid w:val="000626D3"/>
    <w:rsid w:val="0006363E"/>
    <w:rsid w:val="00080DFF"/>
    <w:rsid w:val="00085ED5"/>
    <w:rsid w:val="00093ADA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35BF6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515C3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31802"/>
    <w:rsid w:val="00B63F15"/>
    <w:rsid w:val="00BB5F7E"/>
    <w:rsid w:val="00BC26F6"/>
    <w:rsid w:val="00BC4833"/>
    <w:rsid w:val="00BD3122"/>
    <w:rsid w:val="00BD40DA"/>
    <w:rsid w:val="00BF3D67"/>
    <w:rsid w:val="00C01A20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94F7F"/>
    <w:rsid w:val="00EA01EC"/>
    <w:rsid w:val="00EA15B0"/>
    <w:rsid w:val="00EA5D97"/>
    <w:rsid w:val="00EC4393"/>
    <w:rsid w:val="00EE1C07"/>
    <w:rsid w:val="00EE2C91"/>
    <w:rsid w:val="00EE3979"/>
    <w:rsid w:val="00EF138C"/>
    <w:rsid w:val="00EF6CD7"/>
    <w:rsid w:val="00F034CE"/>
    <w:rsid w:val="00F10A0F"/>
    <w:rsid w:val="00F22F27"/>
    <w:rsid w:val="00F40284"/>
    <w:rsid w:val="00F67976"/>
    <w:rsid w:val="00F70BE1"/>
    <w:rsid w:val="00F76AEB"/>
    <w:rsid w:val="00FB19D6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1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1E23-3E96-4B72-9F04-41151FB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</cp:revision>
  <dcterms:created xsi:type="dcterms:W3CDTF">2015-08-25T23:04:00Z</dcterms:created>
  <dcterms:modified xsi:type="dcterms:W3CDTF">2015-08-17T04:17:00Z</dcterms:modified>
</cp:coreProperties>
</file>