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9" w:rsidRPr="0013074D" w:rsidRDefault="00A50A57" w:rsidP="0013074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6B6FE9"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6B6FE9"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13074D" w:rsidRPr="0013074D" w:rsidRDefault="0013074D" w:rsidP="0013074D">
      <w:pPr>
        <w:bidi/>
        <w:jc w:val="both"/>
        <w:rPr>
          <w:rFonts w:ascii="IRBadr" w:hAnsi="IRBadr" w:cs="IRBadr"/>
          <w:noProof/>
        </w:rPr>
      </w:pP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13074D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13074D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13074D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13074D" w:rsidRPr="0013074D" w:rsidRDefault="00FE3E1A" w:rsidP="0013074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78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قاعده تعزیر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_Toc428282078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2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79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_Toc428282079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2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0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_Toc428282080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2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1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_Toc428282081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2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2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_Toc428282082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2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3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پاسخ به رد فوق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_Toc428282083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3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4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مناقشه دوم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_Toc428282084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3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2085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تقریر مناقشات در بحث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_Toc428282085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3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86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بیان احتمالات در احادیث گذشته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_Toc428282086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4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87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_Toc428282087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4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88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_Toc428282088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4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89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مفاد حدیث بنابراین احتمال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_Toc428282089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5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90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_Toc428282090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5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Pr="0013074D" w:rsidRDefault="00FE3E1A" w:rsidP="0013074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2091" w:history="1">
        <w:r w:rsidR="0013074D" w:rsidRPr="0013074D">
          <w:rPr>
            <w:rStyle w:val="Hyperlink"/>
            <w:rFonts w:ascii="IRBadr" w:hAnsi="IRBadr" w:cs="IRBadr"/>
            <w:noProof/>
            <w:rtl/>
          </w:rPr>
          <w:t>احتمال سوم</w:t>
        </w:r>
        <w:r w:rsidR="0013074D" w:rsidRPr="0013074D">
          <w:rPr>
            <w:rFonts w:ascii="IRBadr" w:hAnsi="IRBadr" w:cs="IRBadr"/>
            <w:noProof/>
            <w:webHidden/>
          </w:rPr>
          <w:tab/>
        </w:r>
        <w:r w:rsidR="0013074D" w:rsidRPr="0013074D">
          <w:rPr>
            <w:rFonts w:ascii="IRBadr" w:hAnsi="IRBadr" w:cs="IRBadr"/>
            <w:noProof/>
            <w:webHidden/>
          </w:rPr>
          <w:fldChar w:fldCharType="begin"/>
        </w:r>
        <w:r w:rsidR="0013074D" w:rsidRPr="0013074D">
          <w:rPr>
            <w:rFonts w:ascii="IRBadr" w:hAnsi="IRBadr" w:cs="IRBadr"/>
            <w:noProof/>
            <w:webHidden/>
          </w:rPr>
          <w:instrText xml:space="preserve"> PAGEREF _Toc428282091 \h </w:instrText>
        </w:r>
        <w:r w:rsidR="0013074D" w:rsidRPr="0013074D">
          <w:rPr>
            <w:rFonts w:ascii="IRBadr" w:hAnsi="IRBadr" w:cs="IRBadr"/>
            <w:noProof/>
            <w:webHidden/>
          </w:rPr>
        </w:r>
        <w:r w:rsidR="0013074D" w:rsidRPr="0013074D">
          <w:rPr>
            <w:rFonts w:ascii="IRBadr" w:hAnsi="IRBadr" w:cs="IRBadr"/>
            <w:noProof/>
            <w:webHidden/>
          </w:rPr>
          <w:fldChar w:fldCharType="separate"/>
        </w:r>
        <w:r w:rsidR="0013074D" w:rsidRPr="0013074D">
          <w:rPr>
            <w:rFonts w:ascii="IRBadr" w:hAnsi="IRBadr" w:cs="IRBadr"/>
            <w:noProof/>
            <w:webHidden/>
          </w:rPr>
          <w:t>6</w:t>
        </w:r>
        <w:r w:rsidR="0013074D" w:rsidRPr="0013074D">
          <w:rPr>
            <w:rFonts w:ascii="IRBadr" w:hAnsi="IRBadr" w:cs="IRBadr"/>
            <w:noProof/>
            <w:webHidden/>
          </w:rPr>
          <w:fldChar w:fldCharType="end"/>
        </w:r>
      </w:hyperlink>
    </w:p>
    <w:p w:rsidR="0013074D" w:rsidRDefault="0013074D" w:rsidP="0013074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13074D" w:rsidRPr="0013074D" w:rsidRDefault="0013074D" w:rsidP="0094796D">
      <w:pPr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</w:p>
    <w:p w:rsidR="006B6FE9" w:rsidRPr="0013074D" w:rsidRDefault="006B6FE9" w:rsidP="0013074D">
      <w:pPr>
        <w:pStyle w:val="Heading1"/>
        <w:rPr>
          <w:rFonts w:ascii="IRBadr" w:hAnsi="IRBadr" w:cs="IRBadr"/>
          <w:rtl/>
        </w:rPr>
      </w:pPr>
      <w:bookmarkStart w:id="1" w:name="_Toc428282078"/>
      <w:r w:rsidRPr="0013074D">
        <w:rPr>
          <w:rFonts w:ascii="IRBadr" w:hAnsi="IRBadr" w:cs="IRBadr"/>
          <w:rtl/>
        </w:rPr>
        <w:lastRenderedPageBreak/>
        <w:t>قاعده تعزیر</w:t>
      </w:r>
      <w:bookmarkEnd w:id="1"/>
    </w:p>
    <w:p w:rsidR="006B6FE9" w:rsidRPr="0013074D" w:rsidRDefault="006B6FE9" w:rsidP="0013074D">
      <w:pPr>
        <w:pStyle w:val="Heading1"/>
        <w:rPr>
          <w:rFonts w:ascii="IRBadr" w:hAnsi="IRBadr" w:cs="IRBadr"/>
          <w:rtl/>
        </w:rPr>
      </w:pPr>
      <w:bookmarkStart w:id="2" w:name="_Toc428282079"/>
      <w:r w:rsidRPr="0013074D">
        <w:rPr>
          <w:rFonts w:ascii="IRBadr" w:hAnsi="IRBadr" w:cs="IRBadr"/>
          <w:rtl/>
        </w:rPr>
        <w:t>مرور بحث پیشین</w:t>
      </w:r>
      <w:bookmarkEnd w:id="2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در جلسه سابق روایاتی بیان شد که در طی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فرموده شده بود؛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حدودی را قرار داده است که برای متجاوز از آن حدود حدی دیگر در نظر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چنین عقیده داشتند که در روایات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به معنای مطلق عقوبت است و تعزیر را نیز دربر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3" w:name="_Toc428282080"/>
      <w:r w:rsidRPr="0013074D">
        <w:rPr>
          <w:rFonts w:ascii="IRBadr" w:hAnsi="IRBadr" w:cs="IRBadr"/>
          <w:rtl/>
        </w:rPr>
        <w:t>مناقشه در استدلال فوق</w:t>
      </w:r>
      <w:bookmarkEnd w:id="3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این دلیل دومی بود که برای تعمیم موارد تعزیر بیان شد اما توسط آقای گلپایگانی مورد مناقشه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آقای خوانساری و تبریزی نیز </w:t>
      </w:r>
      <w:r w:rsidR="007B2855">
        <w:rPr>
          <w:rFonts w:ascii="IRBadr" w:hAnsi="IRBadr" w:cs="IRBadr"/>
          <w:sz w:val="28"/>
          <w:szCs w:val="28"/>
          <w:rtl/>
          <w:lang w:bidi="fa-IR"/>
        </w:rPr>
        <w:t>این گونه‌اند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آقای خویی،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فاضل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مؤمن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4" w:name="_Toc428282081"/>
      <w:r w:rsidRPr="0013074D">
        <w:rPr>
          <w:rFonts w:ascii="IRBadr" w:hAnsi="IRBadr" w:cs="IRBadr"/>
          <w:rtl/>
        </w:rPr>
        <w:t>مناقشه اول</w:t>
      </w:r>
      <w:bookmarkEnd w:id="4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حد دارای معانی متعددی است و حمل آن بر معنای قوانین خلاف سیاق کلام و ظاهر است.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5" w:name="_Toc428282082"/>
      <w:r w:rsidRPr="0013074D">
        <w:rPr>
          <w:rFonts w:ascii="IRBadr" w:hAnsi="IRBadr" w:cs="IRBadr"/>
          <w:rtl/>
        </w:rPr>
        <w:t>اتخاذ مبنا</w:t>
      </w:r>
      <w:bookmarkEnd w:id="5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اشکال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قابل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پاسخ‌دهی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حد در شریعت به این معنا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درست است حد به معنای حد تکوینی همانند آیه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شریفه «</w: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>تِلْ</w:t>
      </w:r>
      <w:r w:rsidR="00A50A57"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130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حُدُودُ اللَّهِ فَلا تَعْتَدُوها»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3074D">
        <w:rPr>
          <w:rFonts w:ascii="IRBadr" w:hAnsi="IRBadr" w:cs="IRBadr"/>
          <w:sz w:val="28"/>
          <w:szCs w:val="28"/>
          <w:vertAlign w:val="superscript"/>
          <w:rtl/>
          <w:lang w:bidi="fa-IR"/>
        </w:rPr>
        <w:footnoteReference w:id="1"/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به کار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اما در شریعت به معنای قانون نیز استعمال شده است.</w:t>
      </w:r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لذا در اینجا امر خلاف ظاهری اتفاق نیفتاده است.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اگر اشکال بدین نحو تقریر شود که حد دارای معانی متعددی است و شاید استعمال آن در معنای حد تکوینی بیشتر باشد،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در اینجا نیازمند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قرینه‌ایم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می‌تواند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اشکال واردی باشد.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6" w:name="_Toc428282083"/>
      <w:r w:rsidRPr="0013074D">
        <w:rPr>
          <w:rFonts w:ascii="IRBadr" w:hAnsi="IRBadr" w:cs="IRBadr"/>
          <w:rtl/>
        </w:rPr>
        <w:lastRenderedPageBreak/>
        <w:t>پاسخ به رد فوق</w:t>
      </w:r>
      <w:bookmarkEnd w:id="6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اما در قبال این تقریر نیز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بگوییم؛ در روایاتی که در این مقام آورده شد در مواردی قرینه وجود دارد که مراد از حد همان معنای قانونی آن است.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7" w:name="_Toc428282084"/>
      <w:r w:rsidRPr="0013074D">
        <w:rPr>
          <w:rFonts w:ascii="IRBadr" w:hAnsi="IRBadr" w:cs="IRBadr"/>
          <w:rtl/>
        </w:rPr>
        <w:t>مناقشه دوم</w:t>
      </w:r>
      <w:bookmarkEnd w:id="7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مناقشه دیگر و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فنی‌تری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که از جانب آقای تبریزی حفظه الله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تعبیر کل شیء در روایت تعبیر حقیقی نیست چراکه حد در اینجا مطلق قانون نیست،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مواردی مراد است که خداوند برای محدودیت جعل نموده است.</w:t>
      </w:r>
    </w:p>
    <w:p w:rsidR="006B6FE9" w:rsidRPr="0013074D" w:rsidRDefault="006B6FE9" w:rsidP="0013074D">
      <w:pPr>
        <w:pStyle w:val="Heading2"/>
        <w:rPr>
          <w:rFonts w:ascii="IRBadr" w:hAnsi="IRBadr" w:cs="IRBadr"/>
          <w:rtl/>
        </w:rPr>
      </w:pPr>
      <w:bookmarkStart w:id="8" w:name="_Toc428282085"/>
      <w:r w:rsidRPr="0013074D">
        <w:rPr>
          <w:rFonts w:ascii="IRBadr" w:hAnsi="IRBadr" w:cs="IRBadr"/>
          <w:rtl/>
        </w:rPr>
        <w:t>تقریر مناقشات در بحث</w:t>
      </w:r>
      <w:bookmarkEnd w:id="8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در این روایات چند اشکال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ایرادشده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 که در طی این بحث به برخی از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پرداخته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؛ در طول روایت گذشته سه بار کلمه حد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به‌کاربرده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شده است و کلمه سوم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دو مورد سابق در معنای متفاوتی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به‌تبع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آن،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دو کلمه سابق نیز احتمالات دیگری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bookmarkStart w:id="9" w:name="_Toc428282086"/>
      <w:r w:rsidRPr="0013074D">
        <w:rPr>
          <w:rFonts w:ascii="IRBadr" w:hAnsi="IRBadr" w:cs="IRBadr"/>
          <w:rtl/>
        </w:rPr>
        <w:t>بیان احتمالات در احادیث گذشته</w:t>
      </w:r>
      <w:bookmarkEnd w:id="9"/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bookmarkStart w:id="10" w:name="_Toc428282087"/>
      <w:r w:rsidRPr="0013074D">
        <w:rPr>
          <w:rFonts w:ascii="IRBadr" w:hAnsi="IRBadr" w:cs="IRBadr"/>
          <w:rtl/>
        </w:rPr>
        <w:t>احتمال اول</w:t>
      </w:r>
      <w:bookmarkEnd w:id="10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یک احتمال این است که حد اول به معنای لغوی و به معنی مقدار باشد؛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خداوند برای هر شیء ای در این عالم ابتدا،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انتها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و حدی قرار داده است و با این می‌شود اشاره کرد به همان امر فلسفی که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کل شیء، غیر خداوند محدود است و انتهایی و مقداری دارد.</w:t>
      </w:r>
    </w:p>
    <w:p w:rsidR="006B6FE9" w:rsidRPr="0013074D" w:rsidRDefault="00A50A57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احتمال است که در صورت تنها بودن جمله اول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می‌توانست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واقع شود.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در ادامه آن،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جمله‌ای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 که نمی‌گذارد این احتمال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قرار گیرد، «</w:t>
      </w:r>
      <w:r w:rsidR="006B6FE9"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جَعَلَ لِمَنْ تَعَدَّ</w:t>
      </w:r>
      <w:r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6B6FE9"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ذَلِ</w:t>
      </w:r>
      <w:r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6B6FE9"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الْحَدَّ حَدّاً»</w:t>
      </w:r>
      <w:r w:rsidR="006B6FE9" w:rsidRPr="0013074D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2"/>
      </w:r>
      <w:r w:rsidR="006B6FE9" w:rsidRPr="0013074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. 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این جمله نشان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که در اینجا جعل 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lastRenderedPageBreak/>
        <w:t>تشریعی است. قرینه دوم نیز خود سیاق است،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بحث در حد زنا و حد سرقت است،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گلپایگانی و خوانساری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به‌اجمال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در این روایت رسیدند و این احتمال اول را منتفی 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ندانسته‌اند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 w:rsidR="006B6FE9" w:rsidRPr="0013074D">
        <w:rPr>
          <w:rFonts w:ascii="IRBadr" w:hAnsi="IRBadr" w:cs="IRBadr"/>
          <w:sz w:val="28"/>
          <w:szCs w:val="28"/>
          <w:rtl/>
          <w:lang w:bidi="fa-IR"/>
        </w:rPr>
        <w:t xml:space="preserve"> این احتمال ضعیف است.</w:t>
      </w:r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bookmarkStart w:id="11" w:name="_Toc428282088"/>
      <w:r w:rsidRPr="0013074D">
        <w:rPr>
          <w:rFonts w:ascii="IRBadr" w:hAnsi="IRBadr" w:cs="IRBadr"/>
          <w:rtl/>
        </w:rPr>
        <w:t>احتمال دوم</w:t>
      </w:r>
      <w:bookmarkEnd w:id="11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احتمال دومی که در این احادیث مطرح است، این است که مراد از کلمه حد معنای خاص آن و به معنی مقررات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تعیین‌شده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در شریعت است،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طبق این احتمال جعل نیز به معنی جعل تشریعی و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قانون‌گذاری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و در قبال کل شیء قرینه داخلی پیدا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که منظور همه آن موارد نیست. حتی منظور همه مواردی که خدا در آنجا مرز حلال و حرام قرار داده نیز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نیست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. بلکه محدوده خاصی از گناهان و معاصی است که مراد موارد خاص حدود است.</w:t>
      </w:r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r w:rsidRPr="0013074D">
        <w:rPr>
          <w:rFonts w:ascii="IRBadr" w:hAnsi="IRBadr" w:cs="IRBadr"/>
          <w:rtl/>
        </w:rPr>
        <w:t xml:space="preserve"> </w:t>
      </w:r>
      <w:bookmarkStart w:id="12" w:name="_Toc428282089"/>
      <w:r w:rsidRPr="0013074D">
        <w:rPr>
          <w:rFonts w:ascii="IRBadr" w:hAnsi="IRBadr" w:cs="IRBadr"/>
          <w:rtl/>
        </w:rPr>
        <w:t xml:space="preserve">مفاد حدیث </w:t>
      </w:r>
      <w:r w:rsidR="00A50A57" w:rsidRPr="0013074D">
        <w:rPr>
          <w:rFonts w:ascii="IRBadr" w:hAnsi="IRBadr" w:cs="IRBadr"/>
          <w:rtl/>
        </w:rPr>
        <w:t>بنابراین</w:t>
      </w:r>
      <w:r w:rsidRPr="0013074D">
        <w:rPr>
          <w:rFonts w:ascii="IRBadr" w:hAnsi="IRBadr" w:cs="IRBadr"/>
          <w:rtl/>
        </w:rPr>
        <w:t xml:space="preserve"> احتمال</w:t>
      </w:r>
      <w:bookmarkEnd w:id="12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مفاد حدیث </w:t>
      </w:r>
      <w:r w:rsidR="007B2855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احتمال دوم، این می‌شود که خداوند برای معصیت‌های معین، حدود مشخصی را قرار داده است. و در روایات دیگری این مضمون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که خداوند حدودی را برای معصیت‌های مشخصی معین کرده است. کسی حق ندارد، از آن مقدار حدی که خدا تعیین کرده است،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عبور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کند.</w:t>
      </w:r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bookmarkStart w:id="13" w:name="_Toc428282090"/>
      <w:r w:rsidRPr="0013074D">
        <w:rPr>
          <w:rFonts w:ascii="IRBadr" w:hAnsi="IRBadr" w:cs="IRBadr"/>
          <w:rtl/>
        </w:rPr>
        <w:t>اتخاذ مبنا</w:t>
      </w:r>
      <w:bookmarkEnd w:id="13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این احتمال صحیح و مضمون آن در روایات مکرراً وجود دارد، برخی از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روایاتی است که در ابواب مقدمات حدود، باب دوم، حدیث سومش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6B6FE9" w:rsidRPr="0013074D" w:rsidRDefault="006B6FE9" w:rsidP="0013074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«أَبُو عَلِ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الْأَشْعَرِ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مُحَمَّدِ بْنِ حَسَّانَ عَنْ مُحَمَّدِ بْنِ عَلِ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جَمِ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لَةَ عَنِ ابْنِ دُبَ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الْ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وفِ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عَمْرِو بْنِ قَ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سٍ قَالَ قَالَ أَبُو عَبْدِ اللَّهِ ع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عَمْرَو بْنَ قَ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أَ شَعَرْتَ أَنَّ اللَّهَ عَزَّ وَ جَلَّ أَرْسَلَ رَسُولًا وَ أَنْزَلَ عَلَ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تَاباً وَ أَنْزَلَ فِ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تَابِ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لَّ مَا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حْتَاجُ إِلَ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وَ جَعَلَ لَهُ دَلِ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لًا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دُلُّ عَلَ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وَ جَعَلَ 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شَ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حَدّاً وَ لِمَنْ جَاوَزَ الْحَدَّ حَدّاً قَالَ قُلْتُ أَرْسَلَ رَسُولًا وَ أَنْزَلَ عَلَ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تَاباً وَ أَنْزَلَ فِ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تَابِ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لَّ مَا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حْتَاجُ إِلَ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وَ جَعَلَ عَلَ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دَلِ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لًا وَ جَعَلَ 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شَ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‌ءٍ حَدّاً قَالَ نَعَمْ قُلْتُ وَ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 جَعَلَ لِمَنْ جَاوَزَ الْحَدَّ حَدّاً قَالَ قَالَ إِنَّ اللَّهَ عَزَّ وَ جَلَّ حَدَّ فِ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الْأَمْوَالِ أَنْ لَا تُؤْخَذَ إِلَّا مِنْ حِلِّهَا فَمَنْ أَخَذَهَا مِنْ غَ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رِ حِلِّهَا قُطِعَتْ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دُهُ حَدّاً لِمُجَاوَزَةِ 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الْحَدِّ وَ إِنَّ اللَّهَ عَزَّ وَ جَلَّ حَدَّ أَنْ لَا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حَ النِّ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احُ إِلَّا مِنْ حِلِّهِ وَ مَنْ فَعَلَ غَ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 ذَلِ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إِنْ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عَزَباً حُدَّ وَ إِنْ </w:t>
      </w:r>
      <w:r w:rsidR="00A50A57"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مُحْصَناً رُجِمَ لِمُجَاوَزَتِهِ الْحَدَّ.» </w:t>
      </w:r>
      <w:r w:rsidRPr="0013074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324BBE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در اینجا بحث این نیست که در مقام اجرای حد اگر کسی عبور کند، مجازات می‌شود. بلکه بحث این است که خدا برای اعمال و رفتارهای ما حدودی قرار داده است و کسی از این اعمال و رفتارها اگر عبور کند،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مجازاتی برای او مقرر می‌شود.</w:t>
      </w:r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>در حقیقت هم احتمال اول و هم احتمال دوم خلاف سیاق،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صدر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و ذیل روایات است.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بحث روایات در مقام اجرای حد نیست. و معنایی که برای کل شیء در روایت ارائه شد امری است که موجب استهجان خواهد شد و به اطلاق روایت ضربه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B6FE9" w:rsidRPr="0013074D" w:rsidRDefault="006B6FE9" w:rsidP="0013074D">
      <w:pPr>
        <w:pStyle w:val="Heading3"/>
        <w:rPr>
          <w:rFonts w:ascii="IRBadr" w:hAnsi="IRBadr" w:cs="IRBadr"/>
          <w:rtl/>
        </w:rPr>
      </w:pPr>
      <w:bookmarkStart w:id="14" w:name="_Toc428282091"/>
      <w:r w:rsidRPr="0013074D">
        <w:rPr>
          <w:rFonts w:ascii="IRBadr" w:hAnsi="IRBadr" w:cs="IRBadr"/>
          <w:rtl/>
        </w:rPr>
        <w:t>احتمال سوم</w:t>
      </w:r>
      <w:bookmarkEnd w:id="14"/>
    </w:p>
    <w:p w:rsidR="006B6FE9" w:rsidRPr="0013074D" w:rsidRDefault="006B6FE9" w:rsidP="00130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احتمال سوم این است که منظور از حد در صدر قانون و مقرراتی </w:t>
      </w:r>
      <w:r w:rsidR="00A50A57" w:rsidRPr="0013074D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13074D">
        <w:rPr>
          <w:rFonts w:ascii="IRBadr" w:hAnsi="IRBadr" w:cs="IRBadr"/>
          <w:sz w:val="28"/>
          <w:szCs w:val="28"/>
          <w:rtl/>
          <w:lang w:bidi="fa-IR"/>
        </w:rPr>
        <w:t xml:space="preserve"> که شرع قرار داده است. خدا برای هر عمل انسان مقرراتی قرار داده است.</w:t>
      </w:r>
    </w:p>
    <w:p w:rsidR="00152670" w:rsidRPr="0013074D" w:rsidRDefault="00152670" w:rsidP="0013074D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13074D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1A" w:rsidRDefault="00FE3E1A" w:rsidP="000D5800">
      <w:pPr>
        <w:spacing w:after="0" w:line="240" w:lineRule="auto"/>
      </w:pPr>
      <w:r>
        <w:separator/>
      </w:r>
    </w:p>
  </w:endnote>
  <w:endnote w:type="continuationSeparator" w:id="0">
    <w:p w:rsidR="00FE3E1A" w:rsidRDefault="00FE3E1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130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8972948"/>
      <w:docPartObj>
        <w:docPartGallery w:val="Page Numbers (Bottom of Page)"/>
        <w:docPartUnique/>
      </w:docPartObj>
    </w:sdtPr>
    <w:sdtEndPr/>
    <w:sdtContent>
      <w:p w:rsidR="0013074D" w:rsidRDefault="00130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3074D" w:rsidRDefault="00130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13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1A" w:rsidRDefault="00FE3E1A" w:rsidP="0013074D">
      <w:pPr>
        <w:bidi/>
        <w:spacing w:after="0" w:line="240" w:lineRule="auto"/>
      </w:pPr>
      <w:r>
        <w:separator/>
      </w:r>
    </w:p>
  </w:footnote>
  <w:footnote w:type="continuationSeparator" w:id="0">
    <w:p w:rsidR="00FE3E1A" w:rsidRDefault="00FE3E1A" w:rsidP="000D5800">
      <w:pPr>
        <w:spacing w:after="0" w:line="240" w:lineRule="auto"/>
      </w:pPr>
      <w:r>
        <w:continuationSeparator/>
      </w:r>
    </w:p>
  </w:footnote>
  <w:footnote w:id="1">
    <w:p w:rsidR="006B6FE9" w:rsidRPr="0013074D" w:rsidRDefault="006B6FE9" w:rsidP="006B6FE9">
      <w:pPr>
        <w:pStyle w:val="FootnoteText"/>
        <w:rPr>
          <w:rFonts w:ascii="IRBadr" w:hAnsi="IRBadr" w:cs="IRBadr"/>
          <w:b/>
          <w:bCs/>
          <w:rtl/>
        </w:rPr>
      </w:pPr>
      <w:r w:rsidRPr="0013074D">
        <w:rPr>
          <w:rStyle w:val="FootnoteReference"/>
          <w:rFonts w:ascii="IRBadr" w:hAnsi="IRBadr" w:cs="IRBadr"/>
          <w:b/>
          <w:bCs/>
        </w:rPr>
        <w:footnoteRef/>
      </w:r>
      <w:r w:rsidRPr="0013074D">
        <w:rPr>
          <w:rFonts w:ascii="IRBadr" w:hAnsi="IRBadr" w:cs="IRBadr"/>
          <w:b/>
          <w:bCs/>
        </w:rPr>
        <w:t xml:space="preserve"> </w:t>
      </w:r>
      <w:r w:rsidRPr="0013074D">
        <w:rPr>
          <w:rFonts w:ascii="IRBadr" w:hAnsi="IRBadr" w:cs="IRBadr"/>
          <w:b/>
          <w:bCs/>
          <w:rtl/>
        </w:rPr>
        <w:t>229/بقره</w:t>
      </w:r>
    </w:p>
  </w:footnote>
  <w:footnote w:id="2">
    <w:p w:rsidR="006B6FE9" w:rsidRPr="0013074D" w:rsidRDefault="006B6FE9" w:rsidP="006B6FE9">
      <w:pPr>
        <w:pStyle w:val="FootnoteText"/>
        <w:rPr>
          <w:rFonts w:ascii="IRBadr" w:hAnsi="IRBadr" w:cs="IRBadr"/>
          <w:b/>
          <w:bCs/>
        </w:rPr>
      </w:pPr>
      <w:r w:rsidRPr="0013074D">
        <w:rPr>
          <w:rStyle w:val="FootnoteReference"/>
          <w:rFonts w:ascii="IRBadr" w:hAnsi="IRBadr" w:cs="IRBadr"/>
          <w:b/>
          <w:bCs/>
        </w:rPr>
        <w:footnoteRef/>
      </w:r>
      <w:r w:rsidRPr="0013074D">
        <w:rPr>
          <w:rFonts w:ascii="IRBadr" w:hAnsi="IRBadr" w:cs="IRBadr"/>
          <w:b/>
          <w:bCs/>
        </w:rPr>
        <w:t xml:space="preserve"> 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ال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ک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اف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ی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 xml:space="preserve"> 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(ط - الإسلام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ی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، ص: 176</w:t>
      </w:r>
    </w:p>
  </w:footnote>
  <w:footnote w:id="3">
    <w:p w:rsidR="006B6FE9" w:rsidRPr="0013074D" w:rsidRDefault="006B6FE9" w:rsidP="006B6FE9">
      <w:pPr>
        <w:pStyle w:val="FootnoteText"/>
        <w:rPr>
          <w:rFonts w:ascii="IRBadr" w:hAnsi="IRBadr" w:cs="IRBadr"/>
          <w:b/>
          <w:bCs/>
          <w:rtl/>
        </w:rPr>
      </w:pPr>
      <w:r w:rsidRPr="0013074D">
        <w:rPr>
          <w:rStyle w:val="FootnoteReference"/>
          <w:rFonts w:ascii="IRBadr" w:hAnsi="IRBadr" w:cs="IRBadr"/>
          <w:b/>
          <w:bCs/>
        </w:rPr>
        <w:footnoteRef/>
      </w:r>
      <w:r w:rsidRPr="0013074D">
        <w:rPr>
          <w:rFonts w:ascii="IRBadr" w:hAnsi="IRBadr" w:cs="IRBadr"/>
          <w:b/>
          <w:bCs/>
        </w:rPr>
        <w:t xml:space="preserve"> 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ال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ک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اف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ی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 xml:space="preserve"> 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(ط - الإسلام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ی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A50A57" w:rsidRPr="0013074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13074D">
        <w:rPr>
          <w:rFonts w:ascii="IRBadr" w:hAnsi="IRBadr" w:cs="IRBadr"/>
          <w:b/>
          <w:bCs/>
          <w:color w:val="000000" w:themeColor="text1"/>
          <w:rtl/>
        </w:rPr>
        <w:t>، ص: 175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130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24BBE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2B559D" wp14:editId="5D8035C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E0835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1A9D34DF" wp14:editId="1C020D5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="00324BBE">
      <w:rPr>
        <w:rFonts w:ascii="IranNastaliq" w:hAnsi="IranNastaliq" w:cs="IranNastaliq" w:hint="cs"/>
        <w:sz w:val="40"/>
        <w:szCs w:val="40"/>
        <w:rtl/>
        <w:lang w:bidi="fa-IR"/>
      </w:rPr>
      <w:t>830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130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074D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2F1696"/>
    <w:rsid w:val="00304087"/>
    <w:rsid w:val="00324BBE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8002A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B6FE9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2855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277A"/>
    <w:rsid w:val="008F63E3"/>
    <w:rsid w:val="00913C3B"/>
    <w:rsid w:val="00915509"/>
    <w:rsid w:val="00927388"/>
    <w:rsid w:val="009274FE"/>
    <w:rsid w:val="009401AC"/>
    <w:rsid w:val="0094796D"/>
    <w:rsid w:val="009515C3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0A5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31802"/>
    <w:rsid w:val="00B63F15"/>
    <w:rsid w:val="00BB5F7E"/>
    <w:rsid w:val="00BC26F6"/>
    <w:rsid w:val="00BC4833"/>
    <w:rsid w:val="00BD3122"/>
    <w:rsid w:val="00BD40DA"/>
    <w:rsid w:val="00BF3D67"/>
    <w:rsid w:val="00C01A20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892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D668-AD9B-4F58-B6F7-3BD8D113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</cp:revision>
  <dcterms:created xsi:type="dcterms:W3CDTF">2015-08-25T23:09:00Z</dcterms:created>
  <dcterms:modified xsi:type="dcterms:W3CDTF">2015-08-17T04:19:00Z</dcterms:modified>
</cp:coreProperties>
</file>