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DD" w:rsidRPr="00B55667" w:rsidRDefault="00C12BC5" w:rsidP="00B5566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9541DD"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B55667" w:rsidRPr="00B55667" w:rsidRDefault="00B55667" w:rsidP="00B55667">
      <w:pPr>
        <w:bidi/>
        <w:jc w:val="both"/>
        <w:rPr>
          <w:rFonts w:ascii="IRBadr" w:hAnsi="IRBadr" w:cs="IRBadr"/>
          <w:noProof/>
        </w:rPr>
      </w:pP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B55667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B55667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B55667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B55667" w:rsidRPr="00B55667" w:rsidRDefault="00F53798" w:rsidP="00B5566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79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قاعده تعزیر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_Toc428282379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2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0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_Toc428282380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2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1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اشکال به‌احتمال سوم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_Toc428282381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2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2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انواع عمومات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_Toc428282382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3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3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آراء در این مسئله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_Toc428282383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3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4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تطبیق بحث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_Toc428282384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4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5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میزان اجمال در این مقام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_Toc428282385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4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6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اشکال آقای تبریزی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_Toc428282386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5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387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پاسخ از این اشکال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_Toc428282387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5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Pr="00B55667" w:rsidRDefault="00F53798" w:rsidP="00B5566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2388" w:history="1">
        <w:r w:rsidR="00B55667" w:rsidRPr="00B55667">
          <w:rPr>
            <w:rStyle w:val="Hyperlink"/>
            <w:rFonts w:ascii="IRBadr" w:hAnsi="IRBadr" w:cs="IRBadr"/>
            <w:noProof/>
            <w:rtl/>
          </w:rPr>
          <w:t>احتمال دیگر در این روایات</w:t>
        </w:r>
        <w:r w:rsidR="00B55667" w:rsidRPr="00B55667">
          <w:rPr>
            <w:rFonts w:ascii="IRBadr" w:hAnsi="IRBadr" w:cs="IRBadr"/>
            <w:noProof/>
            <w:webHidden/>
          </w:rPr>
          <w:tab/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55667" w:rsidRPr="00B55667">
          <w:rPr>
            <w:rFonts w:ascii="IRBadr" w:hAnsi="IRBadr" w:cs="IRBadr"/>
            <w:noProof/>
            <w:webHidden/>
          </w:rPr>
          <w:instrText xml:space="preserve"> PAGEREF _Toc428282388 \h </w:instrText>
        </w:r>
        <w:r w:rsidR="00B55667" w:rsidRPr="00B55667">
          <w:rPr>
            <w:rStyle w:val="Hyperlink"/>
            <w:rFonts w:ascii="IRBadr" w:hAnsi="IRBadr" w:cs="IRBadr"/>
            <w:noProof/>
            <w:rtl/>
          </w:rPr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55667" w:rsidRPr="00B55667">
          <w:rPr>
            <w:rFonts w:ascii="IRBadr" w:hAnsi="IRBadr" w:cs="IRBadr"/>
            <w:noProof/>
            <w:webHidden/>
          </w:rPr>
          <w:t>5</w:t>
        </w:r>
        <w:r w:rsidR="00B55667" w:rsidRPr="00B556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55667" w:rsidRDefault="00B55667" w:rsidP="00B5566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B55667" w:rsidRPr="00B55667" w:rsidRDefault="00B55667" w:rsidP="002D022F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br w:type="page"/>
      </w:r>
      <w:bookmarkStart w:id="0" w:name="_GoBack"/>
      <w:bookmarkEnd w:id="0"/>
    </w:p>
    <w:p w:rsidR="009541DD" w:rsidRPr="00B55667" w:rsidRDefault="009541DD" w:rsidP="00B55667">
      <w:pPr>
        <w:pStyle w:val="Heading1"/>
        <w:rPr>
          <w:rFonts w:ascii="IRBadr" w:hAnsi="IRBadr" w:cs="IRBadr"/>
          <w:rtl/>
        </w:rPr>
      </w:pPr>
      <w:bookmarkStart w:id="1" w:name="_Toc428282379"/>
      <w:r w:rsidRPr="00B55667">
        <w:rPr>
          <w:rFonts w:ascii="IRBadr" w:hAnsi="IRBadr" w:cs="IRBadr"/>
          <w:rtl/>
        </w:rPr>
        <w:lastRenderedPageBreak/>
        <w:t>قاعده تعزیر</w:t>
      </w:r>
      <w:bookmarkEnd w:id="1"/>
    </w:p>
    <w:p w:rsidR="009541DD" w:rsidRPr="00B55667" w:rsidRDefault="009541DD" w:rsidP="00B55667">
      <w:pPr>
        <w:pStyle w:val="Heading1"/>
        <w:rPr>
          <w:rFonts w:ascii="IRBadr" w:hAnsi="IRBadr" w:cs="IRBadr"/>
          <w:rtl/>
        </w:rPr>
      </w:pPr>
      <w:bookmarkStart w:id="2" w:name="_Toc428282380"/>
      <w:r w:rsidRPr="00B55667">
        <w:rPr>
          <w:rFonts w:ascii="IRBadr" w:hAnsi="IRBadr" w:cs="IRBadr"/>
          <w:rtl/>
        </w:rPr>
        <w:t>مرور بحث سابق</w:t>
      </w:r>
      <w:bookmarkEnd w:id="2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بحث در این بود که در هر معصیتی تعزیر ثابت است یا ثابت نیست؟ اقوال ذکر شد و به مستندات اصل آن قاعده و حکم کلی پرداختیم. دلیل اول را ذکر کردیم، دلیل دوم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از روایات بود که در قبال آن سه احتمال وجود داشت و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</w:p>
    <w:p w:rsidR="009541DD" w:rsidRPr="00B55667" w:rsidRDefault="00C12BC5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9541DD" w:rsidRPr="00B55667">
        <w:rPr>
          <w:rFonts w:ascii="IRBadr" w:hAnsi="IRBadr" w:cs="IRBadr"/>
          <w:sz w:val="28"/>
          <w:szCs w:val="28"/>
          <w:rtl/>
          <w:lang w:bidi="fa-IR"/>
        </w:rPr>
        <w:t xml:space="preserve"> استدلال به این احادیث هم در کتب </w:t>
      </w:r>
      <w:r w:rsidR="00B94123">
        <w:rPr>
          <w:rFonts w:ascii="IRBadr" w:hAnsi="IRBadr" w:cs="IRBadr"/>
          <w:sz w:val="28"/>
          <w:szCs w:val="28"/>
          <w:rtl/>
          <w:lang w:bidi="fa-IR"/>
        </w:rPr>
        <w:t>قدما</w:t>
      </w:r>
      <w:r w:rsidR="009541DD" w:rsidRPr="00B55667">
        <w:rPr>
          <w:rFonts w:ascii="IRBadr" w:hAnsi="IRBadr" w:cs="IRBadr"/>
          <w:sz w:val="28"/>
          <w:szCs w:val="28"/>
          <w:rtl/>
          <w:lang w:bidi="fa-IR"/>
        </w:rPr>
        <w:t xml:space="preserve"> و هم در تحریر 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9541DD" w:rsidRPr="00B5566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="009541DD" w:rsidRPr="00B55667">
        <w:rPr>
          <w:rFonts w:ascii="IRBadr" w:hAnsi="IRBadr" w:cs="IRBadr"/>
          <w:sz w:val="28"/>
          <w:szCs w:val="28"/>
          <w:rtl/>
          <w:lang w:bidi="fa-IR"/>
        </w:rPr>
        <w:t xml:space="preserve"> احتمال در قبال معنای حد این بود که آن را به معنای لغوی و به معنی مقدار بگیریم.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="009541DD" w:rsidRPr="00B55667">
        <w:rPr>
          <w:rFonts w:ascii="IRBadr" w:hAnsi="IRBadr" w:cs="IRBadr"/>
          <w:sz w:val="28"/>
          <w:szCs w:val="28"/>
          <w:rtl/>
          <w:lang w:bidi="fa-IR"/>
        </w:rPr>
        <w:t xml:space="preserve"> دوم این بود که مراد از آن حد به معنی خاص است. احتمال اول رد شد و در مورد احتمال دوم گفته شد که خلاف ظاهر است.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9541DD" w:rsidRPr="00B55667">
        <w:rPr>
          <w:rFonts w:ascii="IRBadr" w:hAnsi="IRBadr" w:cs="IRBadr"/>
          <w:sz w:val="28"/>
          <w:szCs w:val="28"/>
          <w:rtl/>
          <w:lang w:bidi="fa-IR"/>
        </w:rPr>
        <w:t xml:space="preserve"> موجب استهجانی در کلام 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541DD" w:rsidRPr="00B5566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و احتمال سوم این بود که حد در صدر روایت به معنای قانون و مقررات الهی باشد و معنای صدر روایت این می‌شود که خداوند مقررات مشخصی قرار داده است.</w:t>
      </w:r>
    </w:p>
    <w:p w:rsidR="009541DD" w:rsidRPr="00B55667" w:rsidRDefault="009541DD" w:rsidP="00B55667">
      <w:pPr>
        <w:pStyle w:val="Heading2"/>
        <w:rPr>
          <w:rFonts w:ascii="IRBadr" w:hAnsi="IRBadr" w:cs="IRBadr"/>
          <w:rtl/>
        </w:rPr>
      </w:pPr>
      <w:bookmarkStart w:id="3" w:name="_Toc428282381"/>
      <w:r w:rsidRPr="00B55667">
        <w:rPr>
          <w:rFonts w:ascii="IRBadr" w:hAnsi="IRBadr" w:cs="IRBadr"/>
          <w:rtl/>
        </w:rPr>
        <w:t xml:space="preserve">اشکال </w:t>
      </w:r>
      <w:r w:rsidR="00C12BC5" w:rsidRPr="00B55667">
        <w:rPr>
          <w:rFonts w:ascii="IRBadr" w:hAnsi="IRBadr" w:cs="IRBadr"/>
          <w:rtl/>
        </w:rPr>
        <w:t>به‌احتمال</w:t>
      </w:r>
      <w:r w:rsidRPr="00B55667">
        <w:rPr>
          <w:rFonts w:ascii="IRBadr" w:hAnsi="IRBadr" w:cs="IRBadr"/>
          <w:rtl/>
        </w:rPr>
        <w:t xml:space="preserve"> سوم</w:t>
      </w:r>
      <w:bookmarkEnd w:id="3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این اشکال از جانب آقای تبریزی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ایرادشده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مبنی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بر اینکه؛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اگر حد را به معنای قانون و مقررات الهی بگیریم، مطلق قوانین و مقررات نیست. بلکه قوانین بازدارنده است. قوانینی که در آن الزام است؛ محرمات و واجبات که خلاف آن موجب عقابی و مجازاتی می‌شود. برخلاف سه حکم غیر الزامی دیگر.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قطعاً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نیست که در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قوانین الزامی داشته باشیم. لذا باید کل شیء را مقید کرده کنیم چراکه با آن شمول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مورد تمسک قرار گیرد.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از این شمول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درجه‌ای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تنزل نمود و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به‌احتمال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میانه‌ای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رسید که آقای تبریزی مطرح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آقای تبریزی قولشان این است؛ گناهانی که نوعی اختلال نظام در جامعه ایجاد می‌کند، آن‌ها تعزیر دارد. استدلال ما در اینجا زمانی تمام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که بگوییم همه واجبات و محرمات را دربر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به‌احتمال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اول اخذ کنیم،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طبق گفتار ایشان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به این احتمال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دست‌یافت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541DD" w:rsidRPr="00B55667" w:rsidRDefault="009541DD" w:rsidP="00B55667">
      <w:pPr>
        <w:pStyle w:val="Heading2"/>
        <w:rPr>
          <w:rFonts w:ascii="IRBadr" w:hAnsi="IRBadr" w:cs="IRBadr"/>
          <w:rtl/>
        </w:rPr>
      </w:pPr>
      <w:bookmarkStart w:id="4" w:name="_Toc428282382"/>
      <w:r w:rsidRPr="00B55667">
        <w:rPr>
          <w:rFonts w:ascii="IRBadr" w:hAnsi="IRBadr" w:cs="IRBadr"/>
          <w:rtl/>
        </w:rPr>
        <w:lastRenderedPageBreak/>
        <w:t>انواع عمومات</w:t>
      </w:r>
      <w:bookmarkEnd w:id="4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در علم اصول بحثی مطرح است که مطلقات و عمومات اگر از اطلاق و عمومش خارج شود، درجات بعدی بر آن متصور است و بحث است که کدام از آن درجات را می‌شود طبق قاعده پذیرفت؟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عمومات و مطلقات به سه نحو است؛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عموماتی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که قیدی بر آن وارد نشده است که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به نحو کلی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دوم این است که مخصصات واضحی دارد.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صورت سوم جایی است که در آن اجمال وجود دارد.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اینجا مقدار تقیید بر ما مشخص نیست و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عموم بر جای خود باقی نمانده است.</w:t>
      </w:r>
    </w:p>
    <w:p w:rsidR="009541DD" w:rsidRPr="00B55667" w:rsidRDefault="009541DD" w:rsidP="00B55667">
      <w:pPr>
        <w:pStyle w:val="Heading2"/>
        <w:rPr>
          <w:rFonts w:ascii="IRBadr" w:hAnsi="IRBadr" w:cs="IRBadr"/>
          <w:rtl/>
        </w:rPr>
      </w:pPr>
      <w:bookmarkStart w:id="5" w:name="_Toc428282383"/>
      <w:r w:rsidRPr="00B55667">
        <w:rPr>
          <w:rFonts w:ascii="IRBadr" w:hAnsi="IRBadr" w:cs="IRBadr"/>
          <w:rtl/>
        </w:rPr>
        <w:t xml:space="preserve">آراء در این </w:t>
      </w:r>
      <w:r w:rsidR="00C12BC5" w:rsidRPr="00B55667">
        <w:rPr>
          <w:rFonts w:ascii="IRBadr" w:hAnsi="IRBadr" w:cs="IRBadr"/>
          <w:rtl/>
        </w:rPr>
        <w:t>مسئله</w:t>
      </w:r>
      <w:bookmarkEnd w:id="5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این موارد در روایات به نحو زیادی وجود دارد،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فرض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و محل اختلاف است.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نظر در این رابطه وجود دارد که پس از طرو این اجمال دیگر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عقلایی و عرفی به اصالت اطلاق تمسک نمود.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در موارد مشکوک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به اطلاق و عموم تمسک نمود.</w:t>
      </w:r>
    </w:p>
    <w:p w:rsidR="009541DD" w:rsidRPr="00B55667" w:rsidRDefault="009541DD" w:rsidP="00B55667">
      <w:pPr>
        <w:pStyle w:val="Heading2"/>
        <w:rPr>
          <w:rFonts w:ascii="IRBadr" w:hAnsi="IRBadr" w:cs="IRBadr"/>
          <w:rtl/>
        </w:rPr>
      </w:pPr>
      <w:bookmarkStart w:id="6" w:name="_Toc428282384"/>
      <w:r w:rsidRPr="00B55667">
        <w:rPr>
          <w:rFonts w:ascii="IRBadr" w:hAnsi="IRBadr" w:cs="IRBadr"/>
          <w:rtl/>
        </w:rPr>
        <w:t>تطبیق بحث</w:t>
      </w:r>
      <w:bookmarkEnd w:id="6"/>
    </w:p>
    <w:p w:rsidR="009541DD" w:rsidRPr="00B55667" w:rsidRDefault="009541DD" w:rsidP="00B941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نظری که مرحوم حضرت آقای تبریزی حفظه الله آوردند، چنین وضعیتی دارد.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در اینجا حد با اجمال</w:t>
      </w:r>
      <w:r w:rsidR="00B94123">
        <w:rPr>
          <w:rFonts w:ascii="IRBadr" w:hAnsi="IRBadr" w:cs="IRBadr" w:hint="cs"/>
          <w:sz w:val="28"/>
          <w:szCs w:val="28"/>
          <w:rtl/>
          <w:lang w:bidi="fa-IR"/>
        </w:rPr>
        <w:t xml:space="preserve"> م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واجه است که مقصود از آن چیست؟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اینجا یقین داریم که در قبال همه امور الزامی وجود ندارد. در اینجا ممکن است بگوییم کل شیء همه مقررات واجب و مستحب را می‌گیرد و ممکن است همه مقررات واجب و حرام الزامی را دربر می‌گیرد که طبق این احتمال تعزیرات را هم دربر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اما از طرفی نیز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گفت که بخشی از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الزامی‌ات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را دربر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تنها بخشی را دربر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که در پی آن اختلال نظامی لازم آید یا موجب ایذاء مؤمن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541DD" w:rsidRPr="00B55667" w:rsidRDefault="009541DD" w:rsidP="00B55667">
      <w:pPr>
        <w:pStyle w:val="Heading2"/>
        <w:rPr>
          <w:rFonts w:ascii="IRBadr" w:hAnsi="IRBadr" w:cs="IRBadr"/>
          <w:rtl/>
        </w:rPr>
      </w:pPr>
      <w:bookmarkStart w:id="7" w:name="_Toc428282385"/>
      <w:r w:rsidRPr="00B55667">
        <w:rPr>
          <w:rFonts w:ascii="IRBadr" w:hAnsi="IRBadr" w:cs="IRBadr"/>
          <w:rtl/>
        </w:rPr>
        <w:lastRenderedPageBreak/>
        <w:t>میزان اجمال در این مقام</w:t>
      </w:r>
      <w:bookmarkEnd w:id="7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ایشان می‌فرماید در اینجا جای اصالت عموم و اطلاق نیست. چراکه از قسم اول نیست که بتوانیم عمومش را قبول کنیم و بگوییم هیچ قیدی نخورده است. قطعاً کل شیء قید خورده است، چراکه همه قوانین الزامی نیستند.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قسم دوم نیز نیست که مقید آن امر روشن و خالی از ابهامی باشد.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از قسم سوم خواهد بود،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سؤال این است که میزان تقیید آن چقدر بوده است؟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مقصود این است که دایره حدود شرعی را دربر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برای جلوگیری از استهجان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علاوه بر واجبات و محرمات مواردی را که موجب اختلال نظام یا ایذاء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را دربر خواهد گرفت.</w:t>
      </w:r>
    </w:p>
    <w:p w:rsidR="009541DD" w:rsidRPr="00B55667" w:rsidRDefault="009541DD" w:rsidP="00B55667">
      <w:pPr>
        <w:pStyle w:val="Heading2"/>
        <w:rPr>
          <w:rFonts w:ascii="IRBadr" w:hAnsi="IRBadr" w:cs="IRBadr"/>
          <w:rtl/>
        </w:rPr>
      </w:pPr>
      <w:bookmarkStart w:id="8" w:name="_Toc428282386"/>
      <w:r w:rsidRPr="00B55667">
        <w:rPr>
          <w:rFonts w:ascii="IRBadr" w:hAnsi="IRBadr" w:cs="IRBadr"/>
          <w:rtl/>
        </w:rPr>
        <w:t>اشکال آقای تبریزی</w:t>
      </w:r>
      <w:bookmarkEnd w:id="8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اشکالی است که حضرت آقای تبریزی حفظه الله در اینجا مطرح می‌کنند، اشکالی مبنایی است. اگر کسی این مبنای اصولی را قبول کند، طبعاً این اشکال وارد است.</w:t>
      </w:r>
    </w:p>
    <w:p w:rsidR="009541DD" w:rsidRPr="00B55667" w:rsidRDefault="009541DD" w:rsidP="00B55667">
      <w:pPr>
        <w:pStyle w:val="Heading2"/>
        <w:rPr>
          <w:rFonts w:ascii="IRBadr" w:hAnsi="IRBadr" w:cs="IRBadr"/>
          <w:rtl/>
        </w:rPr>
      </w:pPr>
      <w:bookmarkStart w:id="9" w:name="_Toc428282387"/>
      <w:r w:rsidRPr="00B55667">
        <w:rPr>
          <w:rFonts w:ascii="IRBadr" w:hAnsi="IRBadr" w:cs="IRBadr"/>
          <w:rtl/>
        </w:rPr>
        <w:t>پاسخ از این اشکال</w:t>
      </w:r>
      <w:bookmarkEnd w:id="9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جوابی که در اینجا مطرح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اشکالی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مبنایی نیست،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در اینجا احتمال دیگری نیز وجود دارد که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بگوییم کل شیء تخصیصی نخورده است.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برای روایت معنایی را ارائه داد که تخصیصی لازم نیاید.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در اینجا یا منظور متعلقات اعمال یعنی اشیاء خارجی است یا اینکه مراد از شیء رفتار و اعمال انسان است.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گفت که هر دو را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خداوند برای هر دو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حد قرار داده است.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این احتمال کل شیء تنها به موارد الزامی خلاصه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مباح و موارد دیگر را دربر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541DD" w:rsidRPr="00B55667" w:rsidRDefault="009541DD" w:rsidP="00B55667">
      <w:pPr>
        <w:pStyle w:val="Heading3"/>
        <w:rPr>
          <w:rFonts w:ascii="IRBadr" w:hAnsi="IRBadr" w:cs="IRBadr"/>
          <w:rtl/>
        </w:rPr>
      </w:pPr>
      <w:bookmarkStart w:id="10" w:name="_Toc428282388"/>
      <w:r w:rsidRPr="00B55667">
        <w:rPr>
          <w:rFonts w:ascii="IRBadr" w:hAnsi="IRBadr" w:cs="IRBadr"/>
          <w:rtl/>
        </w:rPr>
        <w:t>احتمال دیگر در این روایات</w:t>
      </w:r>
      <w:bookmarkEnd w:id="10"/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احتمال دیگری وجود دارد که در اینجا نوع اعمال مراد است،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اینکه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تک‌تک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این اعمال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احتمال بیشتر به ذهن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که خداوند در قبال اعمال شما مرزهایی قرار داده است.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تقیید کل شیء در این روایت امری است که چندان توسط </w:t>
      </w:r>
      <w:r w:rsidR="00B94123">
        <w:rPr>
          <w:rFonts w:ascii="IRBadr" w:hAnsi="IRBadr" w:cs="IRBadr"/>
          <w:sz w:val="28"/>
          <w:szCs w:val="28"/>
          <w:rtl/>
          <w:lang w:bidi="fa-IR"/>
        </w:rPr>
        <w:t>فقها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بدان پرداخته نشده است.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667">
        <w:rPr>
          <w:rFonts w:ascii="IRBadr" w:hAnsi="IRBadr" w:cs="IRBadr"/>
          <w:sz w:val="28"/>
          <w:szCs w:val="28"/>
          <w:rtl/>
          <w:lang w:bidi="fa-IR"/>
        </w:rPr>
        <w:t>و سلمنا که مراد جزئیات اعمال باشد،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آنجا نیز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همان امر را گفت که بسیاری از اعمال مباح </w:t>
      </w:r>
      <w:r w:rsidR="00C12BC5" w:rsidRPr="00B55667">
        <w:rPr>
          <w:rFonts w:ascii="IRBadr" w:hAnsi="IRBadr" w:cs="IRBadr"/>
          <w:sz w:val="28"/>
          <w:szCs w:val="28"/>
          <w:rtl/>
          <w:lang w:bidi="fa-IR"/>
        </w:rPr>
        <w:t>شمرده‌شده</w:t>
      </w:r>
      <w:r w:rsidRPr="00B5566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9541DD" w:rsidRPr="00B55667" w:rsidRDefault="009541DD" w:rsidP="00B5566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B55667" w:rsidRDefault="00152670" w:rsidP="00B55667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B55667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98" w:rsidRDefault="00F53798" w:rsidP="000D5800">
      <w:pPr>
        <w:spacing w:after="0" w:line="240" w:lineRule="auto"/>
      </w:pPr>
      <w:r>
        <w:separator/>
      </w:r>
    </w:p>
  </w:endnote>
  <w:endnote w:type="continuationSeparator" w:id="0">
    <w:p w:rsidR="00F53798" w:rsidRDefault="00F5379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7" w:rsidRDefault="00B55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26839597"/>
      <w:docPartObj>
        <w:docPartGallery w:val="Page Numbers (Bottom of Page)"/>
        <w:docPartUnique/>
      </w:docPartObj>
    </w:sdtPr>
    <w:sdtEndPr/>
    <w:sdtContent>
      <w:p w:rsidR="00B55667" w:rsidRDefault="00B55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22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55667" w:rsidRDefault="00B55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7" w:rsidRDefault="00B55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98" w:rsidRDefault="00F53798" w:rsidP="000D5800">
      <w:pPr>
        <w:spacing w:after="0" w:line="240" w:lineRule="auto"/>
      </w:pPr>
      <w:r>
        <w:separator/>
      </w:r>
    </w:p>
  </w:footnote>
  <w:footnote w:type="continuationSeparator" w:id="0">
    <w:p w:rsidR="00F53798" w:rsidRDefault="00F53798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7" w:rsidRDefault="00B55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2D022F" w:rsidRDefault="000D5800" w:rsidP="002D022F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0B4698A" wp14:editId="0441CD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0DD86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6B6C8663" wp14:editId="3D6C784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541DD">
      <w:rPr>
        <w:rFonts w:ascii="IranNastaliq" w:hAnsi="IranNastaliq" w:cs="IranNastaliq" w:hint="cs"/>
        <w:sz w:val="40"/>
        <w:szCs w:val="40"/>
        <w:rtl/>
        <w:lang w:bidi="fa-IR"/>
      </w:rPr>
      <w:t>831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7" w:rsidRDefault="00B55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022F"/>
    <w:rsid w:val="002D49E4"/>
    <w:rsid w:val="002E450B"/>
    <w:rsid w:val="002E73F9"/>
    <w:rsid w:val="002F05B9"/>
    <w:rsid w:val="00304087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3D72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31802"/>
    <w:rsid w:val="00B55667"/>
    <w:rsid w:val="00B63F15"/>
    <w:rsid w:val="00B94123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53798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5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5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EED-9F46-4411-B49C-B5979D68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</cp:revision>
  <dcterms:created xsi:type="dcterms:W3CDTF">2015-08-25T23:15:00Z</dcterms:created>
  <dcterms:modified xsi:type="dcterms:W3CDTF">2015-08-17T04:20:00Z</dcterms:modified>
</cp:coreProperties>
</file>