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80" w:rsidRPr="000F7411" w:rsidRDefault="00627C66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0F7411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83580" w:rsidRPr="000F7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883580" w:rsidRPr="000F7411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CA4CE1" w:rsidRPr="000F7411" w:rsidRDefault="00CA4CE1" w:rsidP="00CA4C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CA4CE1" w:rsidRPr="000F7411" w:rsidRDefault="00CA4CE1" w:rsidP="00CA4CE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F7411">
        <w:rPr>
          <w:rFonts w:ascii="IRBadr" w:hAnsi="IRBadr" w:cs="IRBadr"/>
          <w:sz w:val="28"/>
          <w:rtl/>
        </w:rPr>
        <w:fldChar w:fldCharType="begin"/>
      </w:r>
      <w:r w:rsidRPr="000F7411">
        <w:rPr>
          <w:rFonts w:ascii="IRBadr" w:hAnsi="IRBadr" w:cs="IRBadr"/>
          <w:sz w:val="28"/>
          <w:rtl/>
        </w:rPr>
        <w:instrText xml:space="preserve"> </w:instrText>
      </w:r>
      <w:r w:rsidRPr="000F7411">
        <w:rPr>
          <w:rFonts w:ascii="IRBadr" w:hAnsi="IRBadr" w:cs="IRBadr"/>
          <w:sz w:val="28"/>
        </w:rPr>
        <w:instrText>TOC</w:instrText>
      </w:r>
      <w:r w:rsidRPr="000F7411">
        <w:rPr>
          <w:rFonts w:ascii="IRBadr" w:hAnsi="IRBadr" w:cs="IRBadr"/>
          <w:sz w:val="28"/>
          <w:rtl/>
        </w:rPr>
        <w:instrText xml:space="preserve"> \</w:instrText>
      </w:r>
      <w:r w:rsidRPr="000F7411">
        <w:rPr>
          <w:rFonts w:ascii="IRBadr" w:hAnsi="IRBadr" w:cs="IRBadr"/>
          <w:sz w:val="28"/>
        </w:rPr>
        <w:instrText>o "</w:instrText>
      </w:r>
      <w:r w:rsidRPr="000F7411">
        <w:rPr>
          <w:rFonts w:ascii="IRBadr" w:hAnsi="IRBadr" w:cs="IRBadr"/>
          <w:sz w:val="28"/>
          <w:rtl/>
        </w:rPr>
        <w:instrText>1-4</w:instrText>
      </w:r>
      <w:r w:rsidRPr="000F7411">
        <w:rPr>
          <w:rFonts w:ascii="IRBadr" w:hAnsi="IRBadr" w:cs="IRBadr"/>
          <w:sz w:val="28"/>
        </w:rPr>
        <w:instrText>" \h \z \u</w:instrText>
      </w:r>
      <w:r w:rsidRPr="000F7411">
        <w:rPr>
          <w:rFonts w:ascii="IRBadr" w:hAnsi="IRBadr" w:cs="IRBadr"/>
          <w:sz w:val="28"/>
          <w:rtl/>
        </w:rPr>
        <w:instrText xml:space="preserve"> </w:instrText>
      </w:r>
      <w:r w:rsidRPr="000F7411">
        <w:rPr>
          <w:rFonts w:ascii="IRBadr" w:hAnsi="IRBadr" w:cs="IRBadr"/>
          <w:sz w:val="28"/>
          <w:rtl/>
        </w:rPr>
        <w:fldChar w:fldCharType="separate"/>
      </w:r>
      <w:hyperlink w:anchor="_Toc427396240" w:history="1">
        <w:r w:rsidRPr="000F7411">
          <w:rPr>
            <w:rStyle w:val="Hyperlink"/>
            <w:rFonts w:ascii="IRBadr" w:hAnsi="IRBadr" w:cs="IRBadr"/>
            <w:noProof/>
            <w:rtl/>
          </w:rPr>
          <w:t>قاعده تعزیر</w:t>
        </w:r>
        <w:r w:rsidRPr="000F7411">
          <w:rPr>
            <w:rFonts w:ascii="IRBadr" w:hAnsi="IRBadr" w:cs="IRBadr"/>
            <w:noProof/>
            <w:webHidden/>
          </w:rPr>
          <w:tab/>
        </w:r>
        <w:r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F7411">
          <w:rPr>
            <w:rFonts w:ascii="IRBadr" w:hAnsi="IRBadr" w:cs="IRBadr"/>
            <w:noProof/>
            <w:webHidden/>
          </w:rPr>
          <w:instrText xml:space="preserve"> PAGEREF _Toc427396240 \h </w:instrText>
        </w:r>
        <w:r w:rsidRPr="000F7411">
          <w:rPr>
            <w:rStyle w:val="Hyperlink"/>
            <w:rFonts w:ascii="IRBadr" w:hAnsi="IRBadr" w:cs="IRBadr"/>
            <w:noProof/>
            <w:rtl/>
          </w:rPr>
        </w:r>
        <w:r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F7411">
          <w:rPr>
            <w:rFonts w:ascii="IRBadr" w:hAnsi="IRBadr" w:cs="IRBadr"/>
            <w:noProof/>
            <w:webHidden/>
          </w:rPr>
          <w:t>1</w:t>
        </w:r>
        <w:r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241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_Toc427396241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1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242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تبیین قواعد در این فرض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_Toc427396242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2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96243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_Toc427396243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2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4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مناقشه سوم در احتمال سوم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_Toc427396244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2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5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_Toc427396245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3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6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مناقشه چهارم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_Toc427396246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3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7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پاسخ مناقشه فوق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_Toc427396247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3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8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مناقشه پنجم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_Toc427396248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3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49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پاسخ از مناقشه فوق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_Toc427396249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3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B30EE3" w:rsidP="00CA4CE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96250" w:history="1">
        <w:r w:rsidR="00CA4CE1" w:rsidRPr="000F7411">
          <w:rPr>
            <w:rStyle w:val="Hyperlink"/>
            <w:rFonts w:ascii="IRBadr" w:hAnsi="IRBadr" w:cs="IRBadr"/>
            <w:noProof/>
            <w:rtl/>
          </w:rPr>
          <w:t>جمع‌بندی</w:t>
        </w:r>
        <w:r w:rsidR="00CA4CE1" w:rsidRPr="000F7411">
          <w:rPr>
            <w:rFonts w:ascii="IRBadr" w:hAnsi="IRBadr" w:cs="IRBadr"/>
            <w:noProof/>
            <w:webHidden/>
          </w:rPr>
          <w:tab/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A4CE1" w:rsidRPr="000F7411">
          <w:rPr>
            <w:rFonts w:ascii="IRBadr" w:hAnsi="IRBadr" w:cs="IRBadr"/>
            <w:noProof/>
            <w:webHidden/>
          </w:rPr>
          <w:instrText xml:space="preserve"> PAGEREF _Toc427396250 \h </w:instrText>
        </w:r>
        <w:r w:rsidR="00CA4CE1" w:rsidRPr="000F7411">
          <w:rPr>
            <w:rStyle w:val="Hyperlink"/>
            <w:rFonts w:ascii="IRBadr" w:hAnsi="IRBadr" w:cs="IRBadr"/>
            <w:noProof/>
            <w:rtl/>
          </w:rPr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A4CE1" w:rsidRPr="000F7411">
          <w:rPr>
            <w:rFonts w:ascii="IRBadr" w:hAnsi="IRBadr" w:cs="IRBadr"/>
            <w:noProof/>
            <w:webHidden/>
          </w:rPr>
          <w:t>4</w:t>
        </w:r>
        <w:r w:rsidR="00CA4CE1" w:rsidRPr="000F741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A4CE1" w:rsidRPr="000F7411" w:rsidRDefault="00CA4CE1" w:rsidP="00CA4CE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F7411" w:rsidRDefault="000F7411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396240"/>
      <w:r>
        <w:rPr>
          <w:rFonts w:ascii="IRBadr" w:hAnsi="IRBadr" w:cs="IRBadr"/>
          <w:rtl/>
        </w:rPr>
        <w:br w:type="page"/>
      </w:r>
    </w:p>
    <w:p w:rsidR="00883580" w:rsidRPr="000F7411" w:rsidRDefault="00883580" w:rsidP="00883580">
      <w:pPr>
        <w:pStyle w:val="Heading1"/>
        <w:rPr>
          <w:rFonts w:ascii="IRBadr" w:hAnsi="IRBadr" w:cs="IRBadr"/>
          <w:rtl/>
        </w:rPr>
      </w:pPr>
      <w:r w:rsidRPr="000F7411">
        <w:rPr>
          <w:rFonts w:ascii="IRBadr" w:hAnsi="IRBadr" w:cs="IRBadr"/>
          <w:rtl/>
        </w:rPr>
        <w:lastRenderedPageBreak/>
        <w:t>قاعده تعزیر</w:t>
      </w:r>
      <w:bookmarkEnd w:id="1"/>
    </w:p>
    <w:p w:rsidR="00883580" w:rsidRPr="000F7411" w:rsidRDefault="00883580" w:rsidP="00883580">
      <w:pPr>
        <w:pStyle w:val="Heading1"/>
        <w:rPr>
          <w:rFonts w:ascii="IRBadr" w:hAnsi="IRBadr" w:cs="IRBadr"/>
          <w:rtl/>
        </w:rPr>
      </w:pPr>
      <w:bookmarkStart w:id="2" w:name="_Toc427396241"/>
      <w:r w:rsidRPr="000F7411">
        <w:rPr>
          <w:rFonts w:ascii="IRBadr" w:hAnsi="IRBadr" w:cs="IRBadr"/>
          <w:rtl/>
        </w:rPr>
        <w:t>مرور بحث گذشته</w:t>
      </w:r>
      <w:bookmarkEnd w:id="2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>بحث در میزان شمولیت قاعده تعزیر بود،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همه معاصی را دربرمی گیرد؟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 زمینه اقوالی وجود داشت که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در قبال حد وجود داشت که بیان شد و گفته شد که درباره لفظ حد در آن روایات احتمالات گوناگونی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سوم این بود که خداوند برای هر امر و عملی مقرراتی قرار داده است.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>این احتمال مبنای استدلال ما قرار گرفت،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مستدلین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به این قول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بگویند که در همه احکام مقررات الهی وجود دارد و هرکس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را ضایع کند، مستحق حد الهی خواهد بود.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مبانی‌ای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که کل شیء را به معنای دیگری اخذ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و اعتقاد داشتند که مراد از آن در موارد اخلال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به‌نظام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و ایذاء مؤمن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بررسی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شد.</w:t>
      </w:r>
    </w:p>
    <w:p w:rsidR="00883580" w:rsidRPr="000F7411" w:rsidRDefault="00883580" w:rsidP="00883580">
      <w:pPr>
        <w:pStyle w:val="Heading2"/>
        <w:rPr>
          <w:rFonts w:ascii="IRBadr" w:hAnsi="IRBadr" w:cs="IRBadr"/>
          <w:rtl/>
        </w:rPr>
      </w:pPr>
      <w:bookmarkStart w:id="3" w:name="_Toc427396242"/>
      <w:r w:rsidRPr="000F7411">
        <w:rPr>
          <w:rFonts w:ascii="IRBadr" w:hAnsi="IRBadr" w:cs="IRBadr"/>
          <w:rtl/>
        </w:rPr>
        <w:t>تبیین قواعد در این فرض</w:t>
      </w:r>
      <w:bookmarkEnd w:id="3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در جلسه سابق بیان شد که به این احتمال اشکال مبنایی وارد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 فرض قواعدی وجود داشت که هریک از آنان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راهگشا باشند؛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اولین قاعده این بود که اگر علم به عدم اطلاق هم نداشتیم، به اطلاق تمسک می‌کنیم. قاعده دوم این بود که اگر مقید معینی بر دلیل وارد شد در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ماورای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آن به اطلاق تکیه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. قاعده سوم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بود که اگر اطلاقی داریم که عنوان خاص مقیدی به او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 و علم اجمالی داریم که این اطلاق به اطلاقه نمی‌تواند درست باشد،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اینجا نیز مادون آن را اخذ خواهیم کرد.</w:t>
      </w:r>
    </w:p>
    <w:p w:rsidR="00883580" w:rsidRPr="000F7411" w:rsidRDefault="00883580" w:rsidP="00883580">
      <w:pPr>
        <w:pStyle w:val="Heading2"/>
        <w:rPr>
          <w:rFonts w:ascii="IRBadr" w:hAnsi="IRBadr" w:cs="IRBadr"/>
          <w:rtl/>
        </w:rPr>
      </w:pPr>
      <w:bookmarkStart w:id="4" w:name="_Toc427396243"/>
      <w:r w:rsidRPr="000F7411">
        <w:rPr>
          <w:rFonts w:ascii="IRBadr" w:hAnsi="IRBadr" w:cs="IRBadr"/>
          <w:rtl/>
        </w:rPr>
        <w:t>اتخاذ مبنا</w:t>
      </w:r>
      <w:bookmarkEnd w:id="4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لذا ما این قاعده را قبول داریم و اشکال خود را به سمت جهت صغروی قرار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علت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اشکال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 بود که کل شیء را به معنای هر عمل جزیی حقیقی که از افراد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نمی‌گیریم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. اما اگر منظور از کل شیء هر عمل شخصی جزئی حقیقی باشد، این اشکال وارد است.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گفتیم به قرینه عرفی و به قرینه آنچه در خود روایات آمده است، منظور از شیء یا اعیانی است که متعلق رفتار ما قرار می‌گیرد، یعنی مال و آن اموری که مورد تمتعات جنسی قرار می‌گیرد و سایر اموری که به نحوی افعال ما به آن تعلق دارد یا اینکه منظور نوع 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lastRenderedPageBreak/>
        <w:t>رفتارهای ماست نه شخص رفتارها.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ادعای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ما در اینجا این است که این قاعده بر اطلاق خود باقی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و نیازی به وارد شدن در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پیچ‌وخم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قاعده اصولی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883580" w:rsidRPr="000F7411" w:rsidRDefault="00883580" w:rsidP="00627C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اما الزامی که در قوانین وجود دارد گاهی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اولیه و گاهی نیز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ثانویه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مراد ما این نیست که حتی مباح نیز قانون است بلکه مراد قانون الزامی است.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منظور از تعزیر در قاعده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کلیه‌ای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ما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عناوین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ثانویه نیز خواهند بود.</w:t>
      </w:r>
    </w:p>
    <w:p w:rsidR="00883580" w:rsidRPr="000F7411" w:rsidRDefault="00883580" w:rsidP="00883580">
      <w:pPr>
        <w:pStyle w:val="Heading3"/>
        <w:rPr>
          <w:rFonts w:ascii="IRBadr" w:hAnsi="IRBadr" w:cs="IRBadr"/>
          <w:rtl/>
        </w:rPr>
      </w:pPr>
      <w:bookmarkStart w:id="5" w:name="_Toc427396244"/>
      <w:r w:rsidRPr="000F7411">
        <w:rPr>
          <w:rFonts w:ascii="IRBadr" w:hAnsi="IRBadr" w:cs="IRBadr"/>
          <w:rtl/>
        </w:rPr>
        <w:t>مناقشه سوم در احتمال سوم</w:t>
      </w:r>
      <w:bookmarkEnd w:id="5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در اینجا امر دائر بین دو ظهور است. چراکه یا باید بگوییم کل شیء سر جای خودش است، هیچ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ضربه‌ای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ندیده است. منتها کلمه حد را باید قید زده و برای آن معنایی قرار دهیم و دست از اطلاق آن برداریم، یعنی به نحوی بین ظهور کل شیء و ظهور حد تعارض حاصل شود. چراکه اگر کل شیء به اطلاقش بخواهد باقی باشد، باید ظهور کلمه حد را بگیریم چراکه در هر شیء الزام نیست.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برخی نیز به این مناقشه توجه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که در صورت تعارض مرجحی برای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از طرفین در اینجا وجود ندارد.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روایت مجمل خواهد شد.</w:t>
      </w:r>
    </w:p>
    <w:p w:rsidR="00883580" w:rsidRPr="000F7411" w:rsidRDefault="00883580" w:rsidP="00883580">
      <w:pPr>
        <w:pStyle w:val="Heading3"/>
        <w:rPr>
          <w:rFonts w:ascii="IRBadr" w:hAnsi="IRBadr" w:cs="IRBadr"/>
          <w:rtl/>
        </w:rPr>
      </w:pPr>
      <w:bookmarkStart w:id="6" w:name="_Toc427396245"/>
      <w:r w:rsidRPr="000F7411">
        <w:rPr>
          <w:rFonts w:ascii="IRBadr" w:hAnsi="IRBadr" w:cs="IRBadr"/>
          <w:rtl/>
        </w:rPr>
        <w:t>اتخاذ مبنا</w:t>
      </w:r>
      <w:bookmarkEnd w:id="6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اعتقاد ما در این فرض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 که؛ کل شیء به اطلاق خودش باقی است.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نیز به معنای قانون الزامی است و حد دوم در معنای مطلق مجازات استعمال شده است.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طبق این امر دیگر تعارضی برقرار نخواهد بود.</w:t>
      </w:r>
    </w:p>
    <w:p w:rsidR="00883580" w:rsidRPr="000F7411" w:rsidRDefault="00883580" w:rsidP="00883580">
      <w:pPr>
        <w:pStyle w:val="Heading4"/>
        <w:ind w:firstLine="0"/>
        <w:rPr>
          <w:rFonts w:ascii="IRBadr" w:hAnsi="IRBadr" w:cs="IRBadr"/>
          <w:rtl/>
        </w:rPr>
      </w:pPr>
      <w:bookmarkStart w:id="7" w:name="_Toc427396246"/>
      <w:r w:rsidRPr="000F7411">
        <w:rPr>
          <w:rFonts w:ascii="IRBadr" w:hAnsi="IRBadr" w:cs="IRBadr"/>
          <w:rtl/>
        </w:rPr>
        <w:t>مناقشه چهارم</w:t>
      </w:r>
      <w:bookmarkEnd w:id="7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>اشکال چهارمی که ممکن است به این روایت شود،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 که گفته می‌شود این روایات در مقام تشریع نیست، بلکه در مقام اخبار است. یا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سیاق،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سیاق 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انشاء و تشریع حکم نیست. بلکه اخبار است.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نمی‌شود به این روایت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روایتی که حکم را ذکر می‌کند، تمسک کرد.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کلمه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حدی نیز که در آخر روایت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 مراد از آن مطلق مجازاتی باشد که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را نیز دربر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3580" w:rsidRPr="000F7411" w:rsidRDefault="00883580" w:rsidP="00883580">
      <w:pPr>
        <w:pStyle w:val="Heading4"/>
        <w:ind w:firstLine="0"/>
        <w:rPr>
          <w:rFonts w:ascii="IRBadr" w:hAnsi="IRBadr" w:cs="IRBadr"/>
          <w:rtl/>
        </w:rPr>
      </w:pPr>
      <w:bookmarkStart w:id="8" w:name="_Toc427396247"/>
      <w:r w:rsidRPr="000F7411">
        <w:rPr>
          <w:rFonts w:ascii="IRBadr" w:hAnsi="IRBadr" w:cs="IRBadr"/>
          <w:rtl/>
        </w:rPr>
        <w:t>پاسخ مناقشه فوق</w:t>
      </w:r>
      <w:bookmarkEnd w:id="8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جوابی که از این اشکال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داد،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 که اصل بیانات وارد در شریعت بر تشریع است و برای ثبوت اخباریت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نیاز به قرینه است.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امام از جایگاه مولویت و تشریع سخن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3580" w:rsidRPr="000F7411" w:rsidRDefault="00883580" w:rsidP="00883580">
      <w:pPr>
        <w:pStyle w:val="Heading4"/>
        <w:ind w:firstLine="0"/>
        <w:rPr>
          <w:rFonts w:ascii="IRBadr" w:hAnsi="IRBadr" w:cs="IRBadr"/>
          <w:rtl/>
        </w:rPr>
      </w:pPr>
      <w:bookmarkStart w:id="9" w:name="_Toc427396248"/>
      <w:r w:rsidRPr="000F7411">
        <w:rPr>
          <w:rFonts w:ascii="IRBadr" w:hAnsi="IRBadr" w:cs="IRBadr"/>
          <w:rtl/>
        </w:rPr>
        <w:t>مناقشه پنجم</w:t>
      </w:r>
      <w:bookmarkEnd w:id="9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>مناقشه دیگری که در این زمینه ممکن است مطرح گردد این است که ما قبول داریم در اینجا معنای تشریعی اراده شده است،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حد در اینجا به معنی خاص آن بوده و مراتب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را نیز دربر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>.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 مجازات یا حدود الهی است یا تعزیرات خاصه یا مراتب نهی از منکر است که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بازدارنده است.</w:t>
      </w:r>
    </w:p>
    <w:p w:rsidR="00883580" w:rsidRPr="000F7411" w:rsidRDefault="00883580" w:rsidP="00883580">
      <w:pPr>
        <w:pStyle w:val="Heading4"/>
        <w:ind w:firstLine="0"/>
        <w:rPr>
          <w:rFonts w:ascii="IRBadr" w:hAnsi="IRBadr" w:cs="IRBadr"/>
          <w:rtl/>
        </w:rPr>
      </w:pPr>
      <w:bookmarkStart w:id="10" w:name="_Toc427396249"/>
      <w:r w:rsidRPr="000F7411">
        <w:rPr>
          <w:rFonts w:ascii="IRBadr" w:hAnsi="IRBadr" w:cs="IRBadr"/>
          <w:rtl/>
        </w:rPr>
        <w:t>پاسخ از مناقشه فوق</w:t>
      </w:r>
      <w:bookmarkEnd w:id="10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این هم جوابش این است که کلمه حد به این معنای عامی که شامل </w:t>
      </w:r>
      <w:r w:rsidR="00D1445F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نهی از منکر هم بشود، طبق ظاهر روایات نیست. سابقاً گفته شد که برای حد سه نوع استعمال وجود دارد؛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یک حد به معنای قانون الزامی است، یک حد به معنای مقررات خاصه شریعت است که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زنا و شرب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را شامل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. یک حد هم به معنای تعزیرات است. اصطلاح چهارم هم این است که حد شامل حدود و تعزیرات بشود. اما اینکه حد به کار برود و حتی موارد نهی از منکر را بگیرد، ظاهراً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استعمال نشده باشد.</w:t>
      </w:r>
    </w:p>
    <w:p w:rsidR="00883580" w:rsidRPr="000F7411" w:rsidRDefault="00627C66" w:rsidP="00883580">
      <w:pPr>
        <w:pStyle w:val="Heading4"/>
        <w:ind w:firstLine="0"/>
        <w:rPr>
          <w:rFonts w:ascii="IRBadr" w:hAnsi="IRBadr" w:cs="IRBadr"/>
          <w:rtl/>
        </w:rPr>
      </w:pPr>
      <w:bookmarkStart w:id="11" w:name="_Toc427396250"/>
      <w:r w:rsidRPr="000F7411">
        <w:rPr>
          <w:rFonts w:ascii="IRBadr" w:hAnsi="IRBadr" w:cs="IRBadr"/>
          <w:rtl/>
        </w:rPr>
        <w:t>جمع‌بندی</w:t>
      </w:r>
      <w:bookmarkEnd w:id="11"/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بنابراین ما قائل به دلالت تام در این روایت هستیم. یعنی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احتمال سوم در این روایت درست است. و روایت معنایش این است که خداوند برای اعمال و رفتارهای ما حدود الزامی قرار داده است. لذا در هر معصیت تعزیر ثابت است.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همه جوانب اشکالات </w:t>
      </w:r>
      <w:r w:rsidR="00627C66" w:rsidRPr="000F7411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، بررسی شد و فکر کنم همه </w:t>
      </w:r>
      <w:r w:rsidR="009D5FA6" w:rsidRPr="000F741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F7411">
        <w:rPr>
          <w:rFonts w:ascii="IRBadr" w:hAnsi="IRBadr" w:cs="IRBadr"/>
          <w:sz w:val="28"/>
          <w:szCs w:val="28"/>
          <w:rtl/>
          <w:lang w:bidi="fa-IR"/>
        </w:rPr>
        <w:t xml:space="preserve"> قابل جواب بود.</w:t>
      </w:r>
    </w:p>
    <w:p w:rsidR="00883580" w:rsidRPr="000F7411" w:rsidRDefault="00883580" w:rsidP="008835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0F7411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F7411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E3" w:rsidRDefault="00B30EE3" w:rsidP="000D5800">
      <w:pPr>
        <w:spacing w:after="0" w:line="240" w:lineRule="auto"/>
      </w:pPr>
      <w:r>
        <w:separator/>
      </w:r>
    </w:p>
  </w:endnote>
  <w:endnote w:type="continuationSeparator" w:id="0">
    <w:p w:rsidR="00B30EE3" w:rsidRDefault="00B30EE3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E3" w:rsidRDefault="00B30EE3" w:rsidP="000D5800">
      <w:pPr>
        <w:spacing w:after="0" w:line="240" w:lineRule="auto"/>
      </w:pPr>
      <w:r>
        <w:separator/>
      </w:r>
    </w:p>
  </w:footnote>
  <w:footnote w:type="continuationSeparator" w:id="0">
    <w:p w:rsidR="00B30EE3" w:rsidRDefault="00B30EE3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0F7411" w:rsidRDefault="000D5800" w:rsidP="000F7411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A9A377C" wp14:editId="594F4D7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6B804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525CA325" wp14:editId="46EB9ED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83580">
      <w:rPr>
        <w:rFonts w:ascii="IranNastaliq" w:hAnsi="IranNastaliq" w:cs="IranNastaliq" w:hint="cs"/>
        <w:sz w:val="40"/>
        <w:szCs w:val="40"/>
        <w:rtl/>
        <w:lang w:bidi="fa-IR"/>
      </w:rPr>
      <w:t>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411"/>
    <w:rsid w:val="000F7E72"/>
    <w:rsid w:val="00101B38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27C66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580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401AC"/>
    <w:rsid w:val="009515C3"/>
    <w:rsid w:val="009541DD"/>
    <w:rsid w:val="009613AC"/>
    <w:rsid w:val="00980643"/>
    <w:rsid w:val="009B46BC"/>
    <w:rsid w:val="009B61C3"/>
    <w:rsid w:val="009C2241"/>
    <w:rsid w:val="009C7B4F"/>
    <w:rsid w:val="009D5FA6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30EE3"/>
    <w:rsid w:val="00B31802"/>
    <w:rsid w:val="00B63F15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4CE1"/>
    <w:rsid w:val="00CB5DA3"/>
    <w:rsid w:val="00CC46FC"/>
    <w:rsid w:val="00CE31E6"/>
    <w:rsid w:val="00CE3B74"/>
    <w:rsid w:val="00CF42E2"/>
    <w:rsid w:val="00CF7916"/>
    <w:rsid w:val="00D1445F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495A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B76AA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F2D2-99AA-41D7-AE12-CFE3CF3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89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46</cp:revision>
  <dcterms:created xsi:type="dcterms:W3CDTF">2014-12-20T10:23:00Z</dcterms:created>
  <dcterms:modified xsi:type="dcterms:W3CDTF">2015-08-15T07:24:00Z</dcterms:modified>
</cp:coreProperties>
</file>