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6" w:rsidRPr="00DA294C" w:rsidRDefault="00FC20D5" w:rsidP="00FC20D5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F13066"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F13066"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EA4ABE" w:rsidRPr="00DA294C" w:rsidRDefault="00EA4ABE" w:rsidP="00EA4ABE">
      <w:pPr>
        <w:bidi/>
        <w:jc w:val="both"/>
        <w:rPr>
          <w:rFonts w:ascii="IRBadr" w:hAnsi="IRBadr" w:cs="IRBadr"/>
          <w:noProof/>
        </w:rPr>
      </w:pP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DA294C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DA294C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DA294C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EA4ABE" w:rsidRPr="00DA294C" w:rsidRDefault="008652D6" w:rsidP="00EA4ABE">
      <w:pPr>
        <w:pStyle w:val="TOC1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69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عناوین ثانویه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_Toc427539769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2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1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0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احکام ثلاثة در این باب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_Toc427539770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2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1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1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تشخیص مصادیق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_Toc427539771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2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2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جنبه‌های فردی و حکومتی حفظ نظام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_Toc427539772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3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3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ادله وجوب حفظ نظام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_Toc427539773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3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4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جمع‌بندی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_Toc427539774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3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5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_Toc427539775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4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539776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مروری بر رویکردها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_Toc427539776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4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3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77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اکتفاء به دلیل نهی از منکر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_Toc427539777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4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3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78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_Toc427539778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5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3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79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جمع‌بندی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_Toc427539779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5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80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نفی تعمیم در هر معصیت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_Toc427539780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5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81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_Toc427539781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6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82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پاسخ به مناقشه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_Toc427539782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6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83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پاسخ اول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_Toc427539783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6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84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پاسخ دوم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_Toc427539784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6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8652D6" w:rsidP="00EA4ABE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539785" w:history="1">
        <w:r w:rsidR="00EA4ABE" w:rsidRPr="00DA294C">
          <w:rPr>
            <w:rStyle w:val="Hyperlink"/>
            <w:rFonts w:ascii="IRBadr" w:hAnsi="IRBadr" w:cs="IRBadr"/>
            <w:noProof/>
            <w:rtl/>
          </w:rPr>
          <w:t>پاسخ سوم</w:t>
        </w:r>
        <w:r w:rsidR="00EA4ABE" w:rsidRPr="00DA294C">
          <w:rPr>
            <w:rFonts w:ascii="IRBadr" w:hAnsi="IRBadr" w:cs="IRBadr"/>
            <w:noProof/>
            <w:webHidden/>
          </w:rPr>
          <w:tab/>
        </w:r>
        <w:r w:rsidR="00EA4ABE" w:rsidRPr="00DA294C">
          <w:rPr>
            <w:rFonts w:ascii="IRBadr" w:hAnsi="IRBadr" w:cs="IRBadr"/>
            <w:noProof/>
            <w:webHidden/>
          </w:rPr>
          <w:fldChar w:fldCharType="begin"/>
        </w:r>
        <w:r w:rsidR="00EA4ABE" w:rsidRPr="00DA294C">
          <w:rPr>
            <w:rFonts w:ascii="IRBadr" w:hAnsi="IRBadr" w:cs="IRBadr"/>
            <w:noProof/>
            <w:webHidden/>
          </w:rPr>
          <w:instrText xml:space="preserve"> PAGEREF _Toc427539785 \h </w:instrText>
        </w:r>
        <w:r w:rsidR="00EA4ABE" w:rsidRPr="00DA294C">
          <w:rPr>
            <w:rFonts w:ascii="IRBadr" w:hAnsi="IRBadr" w:cs="IRBadr"/>
            <w:noProof/>
            <w:webHidden/>
          </w:rPr>
        </w:r>
        <w:r w:rsidR="00EA4ABE" w:rsidRPr="00DA294C">
          <w:rPr>
            <w:rFonts w:ascii="IRBadr" w:hAnsi="IRBadr" w:cs="IRBadr"/>
            <w:noProof/>
            <w:webHidden/>
          </w:rPr>
          <w:fldChar w:fldCharType="separate"/>
        </w:r>
        <w:r w:rsidR="00EA4ABE" w:rsidRPr="00DA294C">
          <w:rPr>
            <w:rFonts w:ascii="IRBadr" w:hAnsi="IRBadr" w:cs="IRBadr"/>
            <w:noProof/>
            <w:webHidden/>
          </w:rPr>
          <w:t>6</w:t>
        </w:r>
        <w:r w:rsidR="00EA4ABE" w:rsidRPr="00DA294C">
          <w:rPr>
            <w:rFonts w:ascii="IRBadr" w:hAnsi="IRBadr" w:cs="IRBadr"/>
            <w:noProof/>
            <w:webHidden/>
          </w:rPr>
          <w:fldChar w:fldCharType="end"/>
        </w:r>
      </w:hyperlink>
    </w:p>
    <w:p w:rsidR="00EA4ABE" w:rsidRPr="00DA294C" w:rsidRDefault="00EA4ABE" w:rsidP="00EA4AB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DA294C" w:rsidRDefault="00DA294C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539769"/>
      <w:r>
        <w:rPr>
          <w:rFonts w:ascii="IRBadr" w:hAnsi="IRBadr" w:cs="IRBadr"/>
          <w:rtl/>
        </w:rPr>
        <w:br w:type="page"/>
      </w:r>
    </w:p>
    <w:p w:rsidR="00F13066" w:rsidRPr="00DA294C" w:rsidRDefault="008B2A49" w:rsidP="00FC20D5">
      <w:pPr>
        <w:pStyle w:val="Heading1"/>
        <w:rPr>
          <w:rFonts w:ascii="IRBadr" w:hAnsi="IRBadr" w:cs="IRBadr"/>
          <w:rtl/>
        </w:rPr>
      </w:pPr>
      <w:r w:rsidRPr="00DA294C">
        <w:rPr>
          <w:rFonts w:ascii="IRBadr" w:hAnsi="IRBadr" w:cs="IRBadr"/>
          <w:rtl/>
        </w:rPr>
        <w:lastRenderedPageBreak/>
        <w:t>عناوین ثانویه</w:t>
      </w:r>
      <w:bookmarkEnd w:id="1"/>
    </w:p>
    <w:p w:rsidR="008B2A49" w:rsidRPr="00DA294C" w:rsidRDefault="008B2A49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در مواردی است که مثلاً حج رفتن معارض با استقلال جامعه اسلامی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موارد که دو امر با یکدیگر تزاحم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آن مباحاتی که بود یا نبودش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بانظم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اجتماعی ارتباط پیدا می‌کند، با این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واجب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می‌شود. فعلی که صیانت کننده از نظم اجتماعی است یا ترک مباحی که موجب حفظ نظم اجتماعی می‌شود، آن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واجب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می‌شود.</w:t>
      </w:r>
    </w:p>
    <w:p w:rsidR="008B2A49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مرحله دوم این حکم این است که اگر واجب یا حرامی هم با این انطباق پیدا کرد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این حفظ نظم واجب است و عقل می‌فهمد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آن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در مقام تزاحم مقدم است الا در موارد خاص که باید 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اقوایی باشد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B2A49" w:rsidRPr="00DA294C" w:rsidRDefault="008B2A49" w:rsidP="00FC20D5">
      <w:pPr>
        <w:pStyle w:val="Heading1"/>
        <w:rPr>
          <w:rFonts w:ascii="IRBadr" w:hAnsi="IRBadr" w:cs="IRBadr"/>
          <w:rtl/>
        </w:rPr>
      </w:pPr>
      <w:bookmarkStart w:id="2" w:name="_Toc427539770"/>
      <w:r w:rsidRPr="00DA294C">
        <w:rPr>
          <w:rFonts w:ascii="IRBadr" w:hAnsi="IRBadr" w:cs="IRBadr"/>
          <w:rtl/>
        </w:rPr>
        <w:t xml:space="preserve">احکام </w:t>
      </w:r>
      <w:r w:rsidR="00DA294C">
        <w:rPr>
          <w:rFonts w:ascii="IRBadr" w:hAnsi="IRBadr" w:cs="IRBadr"/>
          <w:rtl/>
        </w:rPr>
        <w:t>ثلاثه</w:t>
      </w:r>
      <w:r w:rsidRPr="00DA294C">
        <w:rPr>
          <w:rFonts w:ascii="IRBadr" w:hAnsi="IRBadr" w:cs="IRBadr"/>
          <w:rtl/>
        </w:rPr>
        <w:t xml:space="preserve"> در این باب</w:t>
      </w:r>
      <w:bookmarkEnd w:id="2"/>
    </w:p>
    <w:p w:rsidR="008B2A49" w:rsidRPr="00DA294C" w:rsidRDefault="008B2A49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پس در اینجا دو حکم وجود دارد؛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اصل وجوب حفظ نظام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اینکه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بیان شد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حکم عقل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حکم سومی هم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وجود داشت؛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اموری هست که انجام آن‌ها و رعایت آن‌ها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موجب بهتر شدن نظم اجتماعی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ولی نه در آن حد که اگر ترک کند اخلالی در نظم پیدا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شود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موارد نیز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حکم عقلی مستقل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رجحانی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نه الزامی. و شرع هم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طبعاً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در حد رجحان که نتیجه‌اش استحباب باشد، آن را تأیید می‌کند.</w:t>
      </w:r>
    </w:p>
    <w:p w:rsidR="008B2A49" w:rsidRPr="00DA294C" w:rsidRDefault="00EA42F5" w:rsidP="00FC20D5">
      <w:pPr>
        <w:pStyle w:val="Heading1"/>
        <w:rPr>
          <w:rFonts w:ascii="IRBadr" w:hAnsi="IRBadr" w:cs="IRBadr"/>
          <w:rtl/>
        </w:rPr>
      </w:pPr>
      <w:bookmarkStart w:id="3" w:name="_Toc427539771"/>
      <w:r w:rsidRPr="00DA294C">
        <w:rPr>
          <w:rFonts w:ascii="IRBadr" w:hAnsi="IRBadr" w:cs="IRBadr"/>
          <w:rtl/>
        </w:rPr>
        <w:t>تشخیص مصادیق</w:t>
      </w:r>
      <w:bookmarkEnd w:id="3"/>
    </w:p>
    <w:p w:rsidR="008C1B2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نکته دیگری که باید اضافه کرد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این است که این حکم عقل حکم کلی کبروی است که هر چه با آن حفظ نظام می‌شود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 xml:space="preserve"> واجب است. اما چه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موجب حفظ نظام می‌شود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؟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این به فهم متعارف عقلایی و نوعی اطمینان مصداقی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. که 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فرد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مطمئن بشود این مبنای حفظ نظام است. یعنی با جعل این مقررات در راهنمایی و رانندگی نظام حفظ می‌شود</w:t>
      </w:r>
      <w:r w:rsidR="008B2A49" w:rsidRPr="00DA294C">
        <w:rPr>
          <w:rFonts w:ascii="IRBadr" w:hAnsi="IRBadr" w:cs="IRBadr"/>
          <w:sz w:val="28"/>
          <w:szCs w:val="28"/>
          <w:rtl/>
          <w:lang w:bidi="fa-IR"/>
        </w:rPr>
        <w:t>. طبعاً باید مصداق را احراز کرد و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اطمینان پیدا کرد که این مصداق مبنای نظم اجتماعی است.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حکومتی که متصدی است، این قاعده به او می‌گوید که حفظ نظام</w:t>
      </w:r>
      <w:r w:rsidR="00F247BD" w:rsidRPr="00DA294C">
        <w:rPr>
          <w:rFonts w:ascii="IRBadr" w:hAnsi="IRBadr" w:cs="IRBadr"/>
          <w:sz w:val="28"/>
          <w:szCs w:val="28"/>
          <w:rtl/>
          <w:lang w:bidi="fa-IR"/>
        </w:rPr>
        <w:t xml:space="preserve"> واجب 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. حفظ نظام متوقف بر این است که مقررات</w:t>
      </w:r>
      <w:r w:rsidR="00F247BD" w:rsidRPr="00DA294C">
        <w:rPr>
          <w:rFonts w:ascii="IRBadr" w:hAnsi="IRBadr" w:cs="IRBadr"/>
          <w:sz w:val="28"/>
          <w:szCs w:val="28"/>
          <w:rtl/>
          <w:lang w:bidi="fa-IR"/>
        </w:rPr>
        <w:t>ی را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قرار بدهد و جعل این مقررات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واجب</w:t>
      </w:r>
      <w:r w:rsidR="00F247BD" w:rsidRPr="00DA294C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. بر </w:t>
      </w:r>
      <w:r w:rsidR="00F247BD" w:rsidRPr="00DA294C">
        <w:rPr>
          <w:rFonts w:ascii="IRBadr" w:hAnsi="IRBadr" w:cs="IRBadr"/>
          <w:sz w:val="28"/>
          <w:szCs w:val="28"/>
          <w:rtl/>
          <w:lang w:bidi="fa-IR"/>
        </w:rPr>
        <w:t xml:space="preserve">دیگران هم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حفظ نظام </w:t>
      </w:r>
      <w:r w:rsidR="00F247BD" w:rsidRPr="00DA294C">
        <w:rPr>
          <w:rFonts w:ascii="IRBadr" w:hAnsi="IRBadr" w:cs="IRBadr"/>
          <w:sz w:val="28"/>
          <w:szCs w:val="28"/>
          <w:rtl/>
          <w:lang w:bidi="fa-IR"/>
        </w:rPr>
        <w:t xml:space="preserve">واجب است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به اینکه این مقررات را رعایت کنند. حاکم جعل می‌کند و دیگران هم باید رعای</w:t>
      </w:r>
      <w:r w:rsidR="00F247BD" w:rsidRPr="00DA294C">
        <w:rPr>
          <w:rFonts w:ascii="IRBadr" w:hAnsi="IRBadr" w:cs="IRBadr"/>
          <w:sz w:val="28"/>
          <w:szCs w:val="28"/>
          <w:rtl/>
          <w:lang w:bidi="fa-IR"/>
        </w:rPr>
        <w:t>ت کنند.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بخش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زیادی از مقررات به این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حفظ نظام لازم است و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نظم اجتماعی را باید حفظ کرد.</w:t>
      </w:r>
    </w:p>
    <w:p w:rsidR="008C1B2A" w:rsidRPr="00DA294C" w:rsidRDefault="00FC20D5" w:rsidP="00FC20D5">
      <w:pPr>
        <w:pStyle w:val="Heading2"/>
        <w:rPr>
          <w:rFonts w:ascii="IRBadr" w:hAnsi="IRBadr" w:cs="IRBadr"/>
          <w:rtl/>
        </w:rPr>
      </w:pPr>
      <w:bookmarkStart w:id="4" w:name="_Toc427539772"/>
      <w:r w:rsidRPr="00DA294C">
        <w:rPr>
          <w:rFonts w:ascii="IRBadr" w:hAnsi="IRBadr" w:cs="IRBadr"/>
          <w:rtl/>
        </w:rPr>
        <w:lastRenderedPageBreak/>
        <w:t>جنبه‌های</w:t>
      </w:r>
      <w:r w:rsidR="008C1B2A" w:rsidRPr="00DA294C">
        <w:rPr>
          <w:rFonts w:ascii="IRBadr" w:hAnsi="IRBadr" w:cs="IRBadr"/>
          <w:rtl/>
        </w:rPr>
        <w:t xml:space="preserve"> فردی و حکومتی حفظ نظام</w:t>
      </w:r>
      <w:bookmarkEnd w:id="4"/>
    </w:p>
    <w:p w:rsidR="008C1B2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بعضی از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موارد حفظ نظام امور فردی است. ط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بعاً افراد و اشخاص مکلفین تشخیص می‌دهند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و باید انجام بدهند. اما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مواردی است که به حکومت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.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نمی‌شود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گفت هر کس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برای خودش قانون و مقرراتی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ب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گذارد،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دقیقاً نتیجه‌اش معکوس است. بنابراین در بسیاری از مسائلی که به حفظ نظام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، اصولاً در حوزه کار حاکمیت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8C1B2A" w:rsidRPr="00DA294C" w:rsidRDefault="008C1B2A" w:rsidP="00FC20D5">
      <w:pPr>
        <w:pStyle w:val="Heading2"/>
        <w:rPr>
          <w:rFonts w:ascii="IRBadr" w:hAnsi="IRBadr" w:cs="IRBadr"/>
          <w:rtl/>
        </w:rPr>
      </w:pPr>
      <w:bookmarkStart w:id="5" w:name="_Toc427539773"/>
      <w:r w:rsidRPr="00DA294C">
        <w:rPr>
          <w:rFonts w:ascii="IRBadr" w:hAnsi="IRBadr" w:cs="IRBadr"/>
          <w:rtl/>
        </w:rPr>
        <w:t>ادله وجوب حفظ نظام</w:t>
      </w:r>
      <w:bookmarkEnd w:id="5"/>
    </w:p>
    <w:p w:rsidR="008C1B2A" w:rsidRPr="00DA294C" w:rsidRDefault="008C1B2A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علاوه بر اینکه ملازمه عقل و شرع دلالت بر وجوب حفظ نظام دارد،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نیز در این زمینه وجود داشت همانند روایت ید که سابقاً گذشت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قاعده ملازمه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هم کافی است ولی شواهدی در روایات و اخبار و احادیث داریم که ما را مطمئن می‌کند که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شارع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آن را تأیید کرده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C1B2A" w:rsidRPr="00DA294C" w:rsidRDefault="00FC20D5" w:rsidP="00FC20D5">
      <w:pPr>
        <w:pStyle w:val="Heading2"/>
        <w:rPr>
          <w:rFonts w:ascii="IRBadr" w:hAnsi="IRBadr" w:cs="IRBadr"/>
          <w:rtl/>
        </w:rPr>
      </w:pPr>
      <w:bookmarkStart w:id="6" w:name="_Toc427539774"/>
      <w:r w:rsidRPr="00DA294C">
        <w:rPr>
          <w:rFonts w:ascii="IRBadr" w:hAnsi="IRBadr" w:cs="IRBadr"/>
          <w:rtl/>
        </w:rPr>
        <w:t>جمع‌بندی</w:t>
      </w:r>
      <w:bookmarkEnd w:id="6"/>
    </w:p>
    <w:p w:rsidR="008C1B2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نتیجه وجوب حفظ نظام این است که حاکم باید تعزیراتی قرار بدهد. البته مصداقش در آن مواردی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حفظ نظم متوقف بر آن است.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آن رفتارها و اعمالی که مبنای حفظ نظم اجتماعی است و برای حفظ نظم باید قوانین بازدارنده باشد،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آنجا حاکم می‌تواند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قانون بازدارنده بگذارد؛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یعنی تعزیر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و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مجازات بگذارد، ولو جزء حدود اولیه یا تعزیرات خاصه نباشد.</w:t>
      </w:r>
    </w:p>
    <w:p w:rsidR="008C1B2A" w:rsidRPr="00DA294C" w:rsidRDefault="00FC20D5" w:rsidP="00FC20D5">
      <w:pPr>
        <w:pStyle w:val="Heading2"/>
        <w:rPr>
          <w:rFonts w:ascii="IRBadr" w:hAnsi="IRBadr" w:cs="IRBadr"/>
          <w:rtl/>
        </w:rPr>
      </w:pPr>
      <w:bookmarkStart w:id="7" w:name="_Toc427539775"/>
      <w:r w:rsidRPr="00DA294C">
        <w:rPr>
          <w:rFonts w:ascii="IRBadr" w:hAnsi="IRBadr" w:cs="IRBadr"/>
          <w:rtl/>
        </w:rPr>
        <w:t>نتیجه‌گیری</w:t>
      </w:r>
      <w:bookmarkEnd w:id="7"/>
    </w:p>
    <w:p w:rsidR="008C1B2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اشکال اول را قبول کردیم، اشکال دوم که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می‌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گوید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وجوب حفظ نظام دلالتی بر این مطلب نمی‌کند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این را قبول نداریم. والا اصلش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است، ولی در دایره عام و </w:t>
      </w:r>
      <w:r w:rsidR="008C1B2A" w:rsidRPr="00DA294C">
        <w:rPr>
          <w:rFonts w:ascii="IRBadr" w:hAnsi="IRBadr" w:cs="IRBadr"/>
          <w:sz w:val="28"/>
          <w:szCs w:val="28"/>
          <w:rtl/>
          <w:lang w:bidi="fa-IR"/>
        </w:rPr>
        <w:t>شمولش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نه. گفتیم دایره این قاعده با معاصی عموم خصوص من وجه است. بنابراین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سه رویکرد در اینجا بود که ما رویکرد میانه را پذیرفتیم.</w:t>
      </w:r>
    </w:p>
    <w:p w:rsidR="00226106" w:rsidRPr="00DA294C" w:rsidRDefault="00DA3BE7" w:rsidP="00FC20D5">
      <w:pPr>
        <w:pStyle w:val="Heading2"/>
        <w:rPr>
          <w:rFonts w:ascii="IRBadr" w:hAnsi="IRBadr" w:cs="IRBadr"/>
          <w:rtl/>
        </w:rPr>
      </w:pPr>
      <w:bookmarkStart w:id="8" w:name="_Toc427539776"/>
      <w:r w:rsidRPr="00DA294C">
        <w:rPr>
          <w:rFonts w:ascii="IRBadr" w:hAnsi="IRBadr" w:cs="IRBadr"/>
          <w:rtl/>
        </w:rPr>
        <w:t>مروری بر رویکردها</w:t>
      </w:r>
      <w:bookmarkEnd w:id="8"/>
    </w:p>
    <w:p w:rsidR="00DA3BE7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یک رویکرد ظاهر کلام بسیاری از فقها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آقای خویی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بود که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به این قاعده برای کل معاصی تمسک کرد. یک رویکرد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برای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آقای خوانساری و گلپایگانی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مطلقاً تام نیست و نمی‌شود به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تمسک کرد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.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رویکرد سوم ظاهر کلام آقای تبریزی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ما بیشتر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آن را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تقویت کردیم. که در محدوده همه معاصی بلکه معاصی خاصی که برای حفظ نظم اجتماعی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باید حاکم مجازاتی قرار بدهد.</w:t>
      </w:r>
    </w:p>
    <w:p w:rsidR="00DA3BE7" w:rsidRPr="00DA294C" w:rsidRDefault="00F13066" w:rsidP="00FC20D5">
      <w:pPr>
        <w:pStyle w:val="Heading3"/>
        <w:rPr>
          <w:rFonts w:ascii="IRBadr" w:hAnsi="IRBadr" w:cs="IRBadr"/>
          <w:rtl/>
        </w:rPr>
      </w:pPr>
      <w:r w:rsidRPr="00DA294C">
        <w:rPr>
          <w:rFonts w:ascii="IRBadr" w:hAnsi="IRBadr" w:cs="IRBadr"/>
          <w:rtl/>
        </w:rPr>
        <w:t xml:space="preserve"> </w:t>
      </w:r>
      <w:bookmarkStart w:id="9" w:name="_Toc427539777"/>
      <w:r w:rsidR="00DA294C">
        <w:rPr>
          <w:rFonts w:ascii="IRBadr" w:hAnsi="IRBadr" w:cs="IRBadr"/>
          <w:rtl/>
        </w:rPr>
        <w:t>اکتفا</w:t>
      </w:r>
      <w:r w:rsidR="00DA3BE7" w:rsidRPr="00DA294C">
        <w:rPr>
          <w:rFonts w:ascii="IRBadr" w:hAnsi="IRBadr" w:cs="IRBadr"/>
          <w:rtl/>
        </w:rPr>
        <w:t xml:space="preserve"> به دلیل نهی از منکر</w:t>
      </w:r>
      <w:bookmarkEnd w:id="9"/>
    </w:p>
    <w:p w:rsidR="00DA3BE7" w:rsidRPr="00DA294C" w:rsidRDefault="00FC20D5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همین‌جا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دیگر اضافه کنم که اگر کسی بگوید با همان دلیل نهی از منکر گاهی می‌تواند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عملاً اقدام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کند، همان کافی است.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هرجایی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به آن اندازه کافی بود، عیب ندارد، لازم نیست مقررات قرار بگیرد. ولی همیشه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نیست. یعنی خیلی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از موارد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 که در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و نهی از منکر یک امری است که هم قبل از عمل را می‌گیرد، هم بعد از عمل.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لزوم ثبت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مراتبی که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قدم‌به‌قدم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بگوید،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عفو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کند، توبیخ کند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در مرحله اقدام عملی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انجام دهد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نیاز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حکومت دارد و اذن حاکم دارد.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color w:val="FF0000"/>
          <w:sz w:val="28"/>
          <w:szCs w:val="28"/>
          <w:rtl/>
          <w:lang w:bidi="fa-IR"/>
        </w:rPr>
        <w:t>باید</w:t>
      </w:r>
      <w:r w:rsidR="00DA3BE7" w:rsidRPr="00DA294C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این </w:t>
      </w:r>
      <w:r w:rsidR="00DA294C">
        <w:rPr>
          <w:rFonts w:ascii="IRBadr" w:hAnsi="IRBadr" w:cs="IRBadr"/>
          <w:color w:val="FF0000"/>
          <w:sz w:val="28"/>
          <w:szCs w:val="28"/>
          <w:rtl/>
          <w:lang w:bidi="fa-IR"/>
        </w:rPr>
        <w:t>سلسله‌مراتب</w:t>
      </w:r>
      <w:r w:rsidR="00DA3BE7" w:rsidRPr="00DA294C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طی شود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این نحوه مشاهده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A3BE7" w:rsidRPr="00DA294C" w:rsidRDefault="00DA3BE7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مرور بر آراء</w:t>
      </w:r>
    </w:p>
    <w:p w:rsidR="00DA3BE7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یک نظر این است که می‌گوید وجوب حفظ نظام مبنای حدود و تعزیر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در همه معاصی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است. ظاهر مشهور این است. نظر دوم این است که می‌گوید وجوب حفظ نظام دلیلی نیست برای ثبوت تعزیر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نظر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آقای خوانساری و گلپایگانی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. نظر سوم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نظر آقای تبریزی است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در معاصی که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بانظم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اجتماعی ارتباط دارد، این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ثابت است.</w:t>
      </w:r>
    </w:p>
    <w:p w:rsidR="00DA3BE7" w:rsidRPr="00DA294C" w:rsidRDefault="00DA3BE7" w:rsidP="00FC20D5">
      <w:pPr>
        <w:pStyle w:val="Heading3"/>
        <w:rPr>
          <w:rFonts w:ascii="IRBadr" w:hAnsi="IRBadr" w:cs="IRBadr"/>
          <w:rtl/>
        </w:rPr>
      </w:pPr>
      <w:bookmarkStart w:id="10" w:name="_Toc427539778"/>
      <w:r w:rsidRPr="00DA294C">
        <w:rPr>
          <w:rFonts w:ascii="IRBadr" w:hAnsi="IRBadr" w:cs="IRBadr"/>
          <w:rtl/>
        </w:rPr>
        <w:t>اتخاذ مبنا</w:t>
      </w:r>
      <w:bookmarkEnd w:id="10"/>
    </w:p>
    <w:p w:rsidR="00DA3BE7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قیدی به این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زده شود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یا نظر چهارمی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ب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گوییم 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معاصی‌ای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بانظم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اجتماعی ارتباط دارد و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باقاعده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نهی از منکر استیفا نمی‌شود</w:t>
      </w:r>
      <w:r w:rsidR="00DA3BE7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نیاز به جعل قوانین یکسان و یکدست برای همه موارد است.</w:t>
      </w:r>
    </w:p>
    <w:p w:rsidR="0028497A" w:rsidRPr="00DA294C" w:rsidRDefault="00FC20D5" w:rsidP="00FC20D5">
      <w:pPr>
        <w:pStyle w:val="Heading3"/>
        <w:rPr>
          <w:rFonts w:ascii="IRBadr" w:hAnsi="IRBadr" w:cs="IRBadr"/>
          <w:rtl/>
        </w:rPr>
      </w:pPr>
      <w:bookmarkStart w:id="11" w:name="_Toc427539779"/>
      <w:r w:rsidRPr="00DA294C">
        <w:rPr>
          <w:rFonts w:ascii="IRBadr" w:hAnsi="IRBadr" w:cs="IRBadr"/>
          <w:rtl/>
        </w:rPr>
        <w:t>جمع‌بندی</w:t>
      </w:r>
      <w:bookmarkEnd w:id="11"/>
    </w:p>
    <w:p w:rsidR="00FC20D5" w:rsidRPr="00DA294C" w:rsidRDefault="00F13066" w:rsidP="00FC20D5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DA294C">
        <w:rPr>
          <w:rFonts w:ascii="IRBadr" w:hAnsi="IRBadr" w:cs="IRBadr"/>
          <w:sz w:val="28"/>
          <w:szCs w:val="28"/>
          <w:rtl/>
        </w:rPr>
        <w:t xml:space="preserve">اگر کل بحث را </w:t>
      </w:r>
      <w:r w:rsidR="00FC20D5" w:rsidRPr="00DA294C">
        <w:rPr>
          <w:rFonts w:ascii="IRBadr" w:hAnsi="IRBadr" w:cs="IRBadr"/>
          <w:sz w:val="28"/>
          <w:szCs w:val="28"/>
          <w:rtl/>
        </w:rPr>
        <w:t>جمع‌بندی</w:t>
      </w:r>
      <w:r w:rsidRPr="00DA294C">
        <w:rPr>
          <w:rFonts w:ascii="IRBadr" w:hAnsi="IRBadr" w:cs="IRBadr"/>
          <w:sz w:val="28"/>
          <w:szCs w:val="28"/>
          <w:rtl/>
        </w:rPr>
        <w:t xml:space="preserve"> کنیم، </w:t>
      </w:r>
      <w:r w:rsidR="00FC20D5" w:rsidRPr="00DA294C">
        <w:rPr>
          <w:rFonts w:ascii="IRBadr" w:hAnsi="IRBadr" w:cs="IRBadr"/>
          <w:sz w:val="28"/>
          <w:szCs w:val="28"/>
          <w:rtl/>
        </w:rPr>
        <w:t>می‌گوییم</w:t>
      </w:r>
      <w:r w:rsidR="0028497A" w:rsidRPr="00DA294C">
        <w:rPr>
          <w:rFonts w:ascii="IRBadr" w:hAnsi="IRBadr" w:cs="IRBadr"/>
          <w:sz w:val="28"/>
          <w:szCs w:val="28"/>
          <w:rtl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</w:rPr>
        <w:t xml:space="preserve">که سه دلیل برای تعزیر </w:t>
      </w:r>
      <w:r w:rsidR="0028497A" w:rsidRPr="00DA294C">
        <w:rPr>
          <w:rFonts w:ascii="IRBadr" w:hAnsi="IRBadr" w:cs="IRBadr"/>
          <w:sz w:val="28"/>
          <w:szCs w:val="28"/>
          <w:rtl/>
        </w:rPr>
        <w:t>در هر معصیت وجود داشت</w:t>
      </w:r>
      <w:r w:rsidRPr="00DA294C">
        <w:rPr>
          <w:rFonts w:ascii="IRBadr" w:hAnsi="IRBadr" w:cs="IRBadr"/>
          <w:sz w:val="28"/>
          <w:szCs w:val="28"/>
          <w:rtl/>
        </w:rPr>
        <w:t xml:space="preserve">، که دلیل اولش ناقص و غیر تام بود، جز در حد </w:t>
      </w:r>
      <w:r w:rsidR="00FC20D5" w:rsidRPr="00DA294C">
        <w:rPr>
          <w:rFonts w:ascii="IRBadr" w:hAnsi="IRBadr" w:cs="IRBadr"/>
          <w:sz w:val="28"/>
          <w:szCs w:val="28"/>
          <w:rtl/>
        </w:rPr>
        <w:t>مؤید</w:t>
      </w:r>
      <w:r w:rsidRPr="00DA294C">
        <w:rPr>
          <w:rFonts w:ascii="IRBadr" w:hAnsi="IRBadr" w:cs="IRBadr"/>
          <w:sz w:val="28"/>
          <w:szCs w:val="28"/>
          <w:rtl/>
        </w:rPr>
        <w:t>. دلیل دوم را قبول کردیم که</w:t>
      </w:r>
      <w:r w:rsidR="0028497A" w:rsidRPr="00DA294C">
        <w:rPr>
          <w:rFonts w:ascii="IRBadr" w:hAnsi="IRBadr" w:cs="IRBadr"/>
          <w:sz w:val="28"/>
          <w:szCs w:val="28"/>
          <w:rtl/>
        </w:rPr>
        <w:t>؛</w:t>
      </w:r>
    </w:p>
    <w:p w:rsidR="00FC20D5" w:rsidRPr="00DA294C" w:rsidRDefault="00FC20D5" w:rsidP="00FC20D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A294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«ان الله عز و جل جعل لکل شی‌ء حدا و لمن تعدی ذلک الحد حدا»</w:t>
      </w:r>
      <w:r w:rsidRPr="00DA294C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8497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این را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بعضی از بزرگان قبول کردیم، و دلیل سوم را قبول کردیم منتها در چارچوب بعضی معاصی که مخل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نظم می‌شود نه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در همه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معاصی.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داله بر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تعزیر و سیره‌هایی که از </w:t>
      </w:r>
      <w:r w:rsidR="00DA294C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(ع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) و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خود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پیغمبر (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ص)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است که در مواردی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مجازات می‌کردند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می‌تواند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مؤید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باشد که حاکم آن اختیار را دارد.</w:t>
      </w:r>
    </w:p>
    <w:p w:rsidR="0028497A" w:rsidRPr="00DA294C" w:rsidRDefault="0028497A" w:rsidP="00FC20D5">
      <w:pPr>
        <w:pStyle w:val="Heading4"/>
        <w:ind w:firstLine="0"/>
        <w:rPr>
          <w:rFonts w:ascii="IRBadr" w:hAnsi="IRBadr" w:cs="IRBadr"/>
          <w:rtl/>
        </w:rPr>
      </w:pPr>
      <w:bookmarkStart w:id="12" w:name="_Toc427539780"/>
      <w:r w:rsidRPr="00DA294C">
        <w:rPr>
          <w:rFonts w:ascii="IRBadr" w:hAnsi="IRBadr" w:cs="IRBadr"/>
          <w:rtl/>
        </w:rPr>
        <w:t>نفی تعمیم در هر معصیت</w:t>
      </w:r>
      <w:bookmarkEnd w:id="12"/>
    </w:p>
    <w:p w:rsidR="0028497A" w:rsidRPr="00DA294C" w:rsidRDefault="0028497A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اما اینکه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چه دلیلی و مقیدی داریم برای اینکه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از کبرای کلی تعزیر در هر معصیت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دست‌برداریم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28497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دلیلی که همه برای آن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 xml:space="preserve">یعنی نفی تعزیر برای صغائر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ذکر کردند، آیه شریفه سی یا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سی‌ویک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سوره نساء است. و آن آیه این است که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>؛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20D5" w:rsidRPr="00DA294C">
        <w:rPr>
          <w:rFonts w:ascii="IRBadr" w:hAnsi="IRBadr" w:cs="IRBadr"/>
          <w:b/>
          <w:bCs/>
          <w:sz w:val="28"/>
          <w:szCs w:val="28"/>
          <w:rtl/>
          <w:lang w:bidi="fa-IR"/>
        </w:rPr>
        <w:t>«إِنْ تَجْتَنِبُوا کبائِرَ ما تُنْهَوْنَ عَنْهُ نُکفِّرْ عَنْکمْ سَیئاتِکمْ»</w:t>
      </w:r>
      <w:r w:rsidR="00FC20D5" w:rsidRPr="00DA294C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28497A" w:rsidRPr="00DA294C" w:rsidRDefault="0028497A" w:rsidP="00FC20D5">
      <w:pPr>
        <w:pStyle w:val="Heading4"/>
        <w:ind w:firstLine="0"/>
        <w:rPr>
          <w:rFonts w:ascii="IRBadr" w:hAnsi="IRBadr" w:cs="IRBadr"/>
          <w:rtl/>
        </w:rPr>
      </w:pPr>
      <w:bookmarkStart w:id="13" w:name="_Toc427539781"/>
      <w:r w:rsidRPr="00DA294C">
        <w:rPr>
          <w:rFonts w:ascii="IRBadr" w:hAnsi="IRBadr" w:cs="IRBadr"/>
          <w:rtl/>
        </w:rPr>
        <w:t>مناقشه در استدلال فوق</w:t>
      </w:r>
      <w:bookmarkEnd w:id="13"/>
    </w:p>
    <w:p w:rsidR="0028497A" w:rsidRPr="00DA294C" w:rsidRDefault="0028497A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اما در اینجا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این اشکال به ذهن می‌آید که این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بیان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مربوط به آثار اخروی است. نه آثار دنیوی، اگر کبائر را ترک کنیم صغیره را تکفیر می‌کنیم، کلمه تکفیر طبق آیه قرآن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>مربوط به عقاب و عذاب اخروی است.</w:t>
      </w:r>
    </w:p>
    <w:p w:rsidR="0028497A" w:rsidRPr="00DA294C" w:rsidRDefault="0028497A" w:rsidP="00FC20D5">
      <w:pPr>
        <w:pStyle w:val="Heading4"/>
        <w:ind w:firstLine="0"/>
        <w:rPr>
          <w:rFonts w:ascii="IRBadr" w:hAnsi="IRBadr" w:cs="IRBadr"/>
          <w:rtl/>
        </w:rPr>
      </w:pPr>
      <w:bookmarkStart w:id="14" w:name="_Toc427539782"/>
      <w:r w:rsidRPr="00DA294C">
        <w:rPr>
          <w:rFonts w:ascii="IRBadr" w:hAnsi="IRBadr" w:cs="IRBadr"/>
          <w:rtl/>
        </w:rPr>
        <w:t>پاسخ به مناقشه</w:t>
      </w:r>
      <w:bookmarkEnd w:id="14"/>
    </w:p>
    <w:p w:rsidR="0028497A" w:rsidRPr="00DA294C" w:rsidRDefault="0028497A" w:rsidP="00FC20D5">
      <w:pPr>
        <w:pStyle w:val="Heading4"/>
        <w:ind w:firstLine="0"/>
        <w:rPr>
          <w:rFonts w:ascii="IRBadr" w:hAnsi="IRBadr" w:cs="IRBadr"/>
          <w:rtl/>
        </w:rPr>
      </w:pPr>
      <w:bookmarkStart w:id="15" w:name="_Toc427539783"/>
      <w:r w:rsidRPr="00DA294C">
        <w:rPr>
          <w:rFonts w:ascii="IRBadr" w:hAnsi="IRBadr" w:cs="IRBadr"/>
          <w:rtl/>
        </w:rPr>
        <w:t>پاسخ اول</w:t>
      </w:r>
      <w:bookmarkEnd w:id="15"/>
    </w:p>
    <w:p w:rsidR="0028497A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جواب این است که 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 xml:space="preserve">تکفیر 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اطلاق دارد</w:t>
      </w:r>
      <w:r w:rsidR="0028497A" w:rsidRPr="00DA294C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به جمیع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آثاره آن را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F14DC" w:rsidRPr="00DA294C" w:rsidRDefault="00AF14DC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>اما به این جواب شاید نتوان چندان تکیه نمود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در اینجا</w:t>
      </w:r>
      <w:r w:rsidR="00F13066" w:rsidRPr="00DA294C">
        <w:rPr>
          <w:rFonts w:ascii="IRBadr" w:hAnsi="IRBadr" w:cs="IRBadr"/>
          <w:sz w:val="28"/>
          <w:szCs w:val="28"/>
          <w:rtl/>
          <w:lang w:bidi="fa-IR"/>
        </w:rPr>
        <w:t xml:space="preserve"> احتمال انصراف می‌دهیم.</w:t>
      </w:r>
    </w:p>
    <w:p w:rsidR="00AF14DC" w:rsidRPr="00DA294C" w:rsidRDefault="00AF14DC" w:rsidP="00FC20D5">
      <w:pPr>
        <w:pStyle w:val="Heading4"/>
        <w:ind w:firstLine="0"/>
        <w:rPr>
          <w:rFonts w:ascii="IRBadr" w:hAnsi="IRBadr" w:cs="IRBadr"/>
          <w:rtl/>
        </w:rPr>
      </w:pPr>
      <w:bookmarkStart w:id="16" w:name="_Toc427539784"/>
      <w:r w:rsidRPr="00DA294C">
        <w:rPr>
          <w:rFonts w:ascii="IRBadr" w:hAnsi="IRBadr" w:cs="IRBadr"/>
          <w:rtl/>
        </w:rPr>
        <w:t>پاسخ دوم</w:t>
      </w:r>
      <w:bookmarkEnd w:id="16"/>
    </w:p>
    <w:p w:rsidR="00AF14DC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جواب دومی که می‌شود داد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این است، که مدلول آیه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>؛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عقاب و عذاب و جهنم را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برمی‌داریم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. این مدلول موجب انصرافی در خود آن دلیل می‌شود. آیه مستقیم 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>نگفته است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ما همه آثار را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برمی‌داریم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که جواب اول بود. مدلول اصلی این است که بگوییم آثار اخروی، عقاب و عذاب را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برمی‌داریم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. منتها وقتی این عقاب و عذاب برداشته شد. 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 xml:space="preserve">در آن زمان روایت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 xml:space="preserve"> پیشین در قبال حد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از آن قانون 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>انصراف پیدا می‌کند</w:t>
      </w:r>
    </w:p>
    <w:p w:rsidR="00AF14DC" w:rsidRPr="00DA294C" w:rsidRDefault="00AF14DC" w:rsidP="00FC20D5">
      <w:pPr>
        <w:pStyle w:val="Heading4"/>
        <w:ind w:firstLine="0"/>
        <w:rPr>
          <w:rFonts w:ascii="IRBadr" w:hAnsi="IRBadr" w:cs="IRBadr"/>
          <w:rtl/>
        </w:rPr>
      </w:pPr>
      <w:bookmarkStart w:id="17" w:name="_Toc427539785"/>
      <w:r w:rsidRPr="00DA294C">
        <w:rPr>
          <w:rFonts w:ascii="IRBadr" w:hAnsi="IRBadr" w:cs="IRBadr"/>
          <w:rtl/>
        </w:rPr>
        <w:lastRenderedPageBreak/>
        <w:t>پاسخ سوم</w:t>
      </w:r>
      <w:bookmarkEnd w:id="17"/>
    </w:p>
    <w:p w:rsidR="00AF14DC" w:rsidRPr="00DA294C" w:rsidRDefault="00F13066" w:rsidP="00FC20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جواب سومی که می‌شود داد، این است که تمسک </w:t>
      </w:r>
      <w:r w:rsidR="00FC20D5" w:rsidRPr="00DA294C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 xml:space="preserve"> درع </w:t>
      </w:r>
      <w:r w:rsidR="00AF14DC" w:rsidRPr="00DA294C">
        <w:rPr>
          <w:rFonts w:ascii="IRBadr" w:hAnsi="IRBadr" w:cs="IRBadr"/>
          <w:sz w:val="28"/>
          <w:szCs w:val="28"/>
          <w:rtl/>
          <w:lang w:bidi="fa-IR"/>
        </w:rPr>
        <w:t>شود</w:t>
      </w:r>
      <w:r w:rsidRPr="00DA294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DA294C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DA294C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D6" w:rsidRDefault="008652D6" w:rsidP="000D5800">
      <w:pPr>
        <w:spacing w:after="0" w:line="240" w:lineRule="auto"/>
      </w:pPr>
      <w:r>
        <w:separator/>
      </w:r>
    </w:p>
  </w:endnote>
  <w:endnote w:type="continuationSeparator" w:id="0">
    <w:p w:rsidR="008652D6" w:rsidRDefault="008652D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3833948"/>
      <w:docPartObj>
        <w:docPartGallery w:val="Page Numbers (Bottom of Page)"/>
        <w:docPartUnique/>
      </w:docPartObj>
    </w:sdtPr>
    <w:sdtEndPr/>
    <w:sdtContent>
      <w:p w:rsidR="00EA4ABE" w:rsidRDefault="00EA4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94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C20D5" w:rsidRDefault="00FC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D6" w:rsidRDefault="008652D6" w:rsidP="00EA4ABE">
      <w:pPr>
        <w:bidi/>
        <w:spacing w:after="0" w:line="240" w:lineRule="auto"/>
      </w:pPr>
      <w:r>
        <w:separator/>
      </w:r>
    </w:p>
  </w:footnote>
  <w:footnote w:type="continuationSeparator" w:id="0">
    <w:p w:rsidR="008652D6" w:rsidRDefault="008652D6" w:rsidP="000D5800">
      <w:pPr>
        <w:spacing w:after="0" w:line="240" w:lineRule="auto"/>
      </w:pPr>
      <w:r>
        <w:continuationSeparator/>
      </w:r>
    </w:p>
  </w:footnote>
  <w:footnote w:id="1">
    <w:p w:rsidR="00FC20D5" w:rsidRPr="00FC20D5" w:rsidRDefault="00FC20D5">
      <w:pPr>
        <w:pStyle w:val="FootnoteText"/>
        <w:rPr>
          <w:rFonts w:cs="B Badr"/>
        </w:rPr>
      </w:pPr>
      <w:r w:rsidRPr="00FC20D5">
        <w:rPr>
          <w:rStyle w:val="FootnoteReference"/>
          <w:rFonts w:cs="B Badr"/>
        </w:rPr>
        <w:footnoteRef/>
      </w:r>
      <w:r w:rsidRPr="00FC20D5">
        <w:rPr>
          <w:rFonts w:cs="B Badr"/>
          <w:rtl/>
        </w:rPr>
        <w:t xml:space="preserve"> </w:t>
      </w:r>
      <w:r w:rsidRPr="00FC20D5">
        <w:rPr>
          <w:rFonts w:cs="B Badr" w:hint="cs"/>
          <w:rtl/>
        </w:rPr>
        <w:t xml:space="preserve">اصول کافی </w:t>
      </w:r>
      <w:r>
        <w:rPr>
          <w:rFonts w:cs="B Badr" w:hint="eastAsia"/>
          <w:rtl/>
        </w:rPr>
        <w:t>ج</w:t>
      </w:r>
      <w:r>
        <w:rPr>
          <w:rFonts w:cs="B Badr"/>
          <w:rtl/>
        </w:rPr>
        <w:t xml:space="preserve"> 1</w:t>
      </w:r>
      <w:r w:rsidRPr="00FC20D5">
        <w:rPr>
          <w:rFonts w:cs="B Badr" w:hint="cs"/>
          <w:rtl/>
        </w:rPr>
        <w:t xml:space="preserve"> ص 59</w:t>
      </w:r>
    </w:p>
  </w:footnote>
  <w:footnote w:id="2">
    <w:p w:rsidR="00FC20D5" w:rsidRPr="00FC20D5" w:rsidRDefault="00FC20D5">
      <w:pPr>
        <w:pStyle w:val="FootnoteText"/>
        <w:rPr>
          <w:rFonts w:cs="B Badr"/>
          <w:rtl/>
        </w:rPr>
      </w:pPr>
      <w:r w:rsidRPr="00FC20D5">
        <w:rPr>
          <w:rStyle w:val="FootnoteReference"/>
          <w:rFonts w:cs="B Badr"/>
        </w:rPr>
        <w:footnoteRef/>
      </w:r>
      <w:r w:rsidRPr="00FC20D5">
        <w:rPr>
          <w:rFonts w:cs="B Badr"/>
          <w:rtl/>
        </w:rPr>
        <w:t xml:space="preserve"> </w:t>
      </w:r>
      <w:r w:rsidRPr="00FC20D5">
        <w:rPr>
          <w:rFonts w:cs="B Badr" w:hint="cs"/>
          <w:rtl/>
        </w:rPr>
        <w:t>نساء /31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BF" w:rsidRPr="00D723BF" w:rsidRDefault="000D5800" w:rsidP="00D91675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9B7DB0E" wp14:editId="5D5B8B5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01BB5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1BFE627A" wp14:editId="0914A72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11271">
      <w:rPr>
        <w:rFonts w:ascii="IranNastaliq" w:hAnsi="IranNastaliq" w:cs="IranNastaliq"/>
        <w:sz w:val="40"/>
        <w:szCs w:val="40"/>
        <w:rtl/>
      </w:rPr>
      <w:t xml:space="preserve"> </w:t>
    </w:r>
    <w:r w:rsidR="00D91675">
      <w:rPr>
        <w:rFonts w:ascii="IranNastaliq" w:hAnsi="IranNastaliq" w:cs="IranNastaliq"/>
        <w:sz w:val="40"/>
        <w:szCs w:val="40"/>
        <w:rtl/>
      </w:rPr>
      <w:t>شماره ثبت</w:t>
    </w:r>
    <w:r w:rsidR="00D91675">
      <w:rPr>
        <w:rFonts w:ascii="IranNastaliq" w:hAnsi="IranNastaliq" w:cs="IranNastaliq" w:hint="cs"/>
        <w:sz w:val="40"/>
        <w:szCs w:val="40"/>
        <w:rtl/>
      </w:rPr>
      <w:t>:835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5"/>
    <w:rsid w:val="000148C4"/>
    <w:rsid w:val="000228A2"/>
    <w:rsid w:val="000324F1"/>
    <w:rsid w:val="00041FE0"/>
    <w:rsid w:val="00051A63"/>
    <w:rsid w:val="00052BA3"/>
    <w:rsid w:val="0006363E"/>
    <w:rsid w:val="00080DFF"/>
    <w:rsid w:val="000825BD"/>
    <w:rsid w:val="00085ED5"/>
    <w:rsid w:val="000A1A51"/>
    <w:rsid w:val="000C2C26"/>
    <w:rsid w:val="000D2D0D"/>
    <w:rsid w:val="000D5800"/>
    <w:rsid w:val="000F1897"/>
    <w:rsid w:val="000F7E72"/>
    <w:rsid w:val="00101E2D"/>
    <w:rsid w:val="00102CEB"/>
    <w:rsid w:val="00117955"/>
    <w:rsid w:val="00125087"/>
    <w:rsid w:val="0012603F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26106"/>
    <w:rsid w:val="002376A5"/>
    <w:rsid w:val="002417C9"/>
    <w:rsid w:val="002529C5"/>
    <w:rsid w:val="00270294"/>
    <w:rsid w:val="0028497A"/>
    <w:rsid w:val="002914BD"/>
    <w:rsid w:val="00297263"/>
    <w:rsid w:val="002A3A69"/>
    <w:rsid w:val="002C56FD"/>
    <w:rsid w:val="002D49E4"/>
    <w:rsid w:val="002E450B"/>
    <w:rsid w:val="002E73F9"/>
    <w:rsid w:val="002F05B9"/>
    <w:rsid w:val="00340BA3"/>
    <w:rsid w:val="0034165B"/>
    <w:rsid w:val="00361E5A"/>
    <w:rsid w:val="00366400"/>
    <w:rsid w:val="003840A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57A0"/>
    <w:rsid w:val="00405199"/>
    <w:rsid w:val="00410699"/>
    <w:rsid w:val="00415360"/>
    <w:rsid w:val="0044591E"/>
    <w:rsid w:val="00445BEB"/>
    <w:rsid w:val="004651D2"/>
    <w:rsid w:val="00465D26"/>
    <w:rsid w:val="004679F8"/>
    <w:rsid w:val="004B337F"/>
    <w:rsid w:val="004F3596"/>
    <w:rsid w:val="00515883"/>
    <w:rsid w:val="00572E2D"/>
    <w:rsid w:val="00574D76"/>
    <w:rsid w:val="00592103"/>
    <w:rsid w:val="005941DD"/>
    <w:rsid w:val="005A545E"/>
    <w:rsid w:val="005A5862"/>
    <w:rsid w:val="005B0852"/>
    <w:rsid w:val="005B45BC"/>
    <w:rsid w:val="005C06AE"/>
    <w:rsid w:val="005C1BC1"/>
    <w:rsid w:val="005C392B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F70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52D6"/>
    <w:rsid w:val="00883725"/>
    <w:rsid w:val="00883733"/>
    <w:rsid w:val="008965D2"/>
    <w:rsid w:val="008A236D"/>
    <w:rsid w:val="008B2A49"/>
    <w:rsid w:val="008B565A"/>
    <w:rsid w:val="008C1B2A"/>
    <w:rsid w:val="008C3414"/>
    <w:rsid w:val="008D36D5"/>
    <w:rsid w:val="008E3903"/>
    <w:rsid w:val="008F63E3"/>
    <w:rsid w:val="008F6BF5"/>
    <w:rsid w:val="00901C3D"/>
    <w:rsid w:val="00913C3B"/>
    <w:rsid w:val="00915509"/>
    <w:rsid w:val="00925897"/>
    <w:rsid w:val="00927388"/>
    <w:rsid w:val="009274FE"/>
    <w:rsid w:val="009401AC"/>
    <w:rsid w:val="009613AC"/>
    <w:rsid w:val="00980643"/>
    <w:rsid w:val="00985E90"/>
    <w:rsid w:val="00987F25"/>
    <w:rsid w:val="009B46BC"/>
    <w:rsid w:val="009B61C3"/>
    <w:rsid w:val="009C7B4F"/>
    <w:rsid w:val="009F4EB3"/>
    <w:rsid w:val="009F739F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14DC"/>
    <w:rsid w:val="00AF26E3"/>
    <w:rsid w:val="00B11271"/>
    <w:rsid w:val="00B15027"/>
    <w:rsid w:val="00B21CF4"/>
    <w:rsid w:val="00B24300"/>
    <w:rsid w:val="00B63F15"/>
    <w:rsid w:val="00B84BE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6244"/>
    <w:rsid w:val="00C60D75"/>
    <w:rsid w:val="00C64CEA"/>
    <w:rsid w:val="00C73012"/>
    <w:rsid w:val="00C763DD"/>
    <w:rsid w:val="00C84FC0"/>
    <w:rsid w:val="00C9244A"/>
    <w:rsid w:val="00CB5DA3"/>
    <w:rsid w:val="00CE081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23BF"/>
    <w:rsid w:val="00D76353"/>
    <w:rsid w:val="00D91675"/>
    <w:rsid w:val="00DA294C"/>
    <w:rsid w:val="00DA3BE7"/>
    <w:rsid w:val="00DB28BB"/>
    <w:rsid w:val="00DC603F"/>
    <w:rsid w:val="00DD3C0D"/>
    <w:rsid w:val="00DD4864"/>
    <w:rsid w:val="00DD71A2"/>
    <w:rsid w:val="00DE1DC4"/>
    <w:rsid w:val="00DF61AA"/>
    <w:rsid w:val="00E00A54"/>
    <w:rsid w:val="00E0639C"/>
    <w:rsid w:val="00E067E6"/>
    <w:rsid w:val="00E12531"/>
    <w:rsid w:val="00E143B0"/>
    <w:rsid w:val="00E47549"/>
    <w:rsid w:val="00E55891"/>
    <w:rsid w:val="00E6283A"/>
    <w:rsid w:val="00E732A3"/>
    <w:rsid w:val="00E83A85"/>
    <w:rsid w:val="00E90FC4"/>
    <w:rsid w:val="00EA01EC"/>
    <w:rsid w:val="00EA15B0"/>
    <w:rsid w:val="00EA42F5"/>
    <w:rsid w:val="00EA4ABE"/>
    <w:rsid w:val="00EA5D97"/>
    <w:rsid w:val="00EC4393"/>
    <w:rsid w:val="00EE1C07"/>
    <w:rsid w:val="00EE2C91"/>
    <w:rsid w:val="00EE3979"/>
    <w:rsid w:val="00EF138C"/>
    <w:rsid w:val="00F034CE"/>
    <w:rsid w:val="00F10A0F"/>
    <w:rsid w:val="00F13066"/>
    <w:rsid w:val="00F247BD"/>
    <w:rsid w:val="00F40284"/>
    <w:rsid w:val="00F67976"/>
    <w:rsid w:val="00F70BE1"/>
    <w:rsid w:val="00FC0862"/>
    <w:rsid w:val="00FC20D5"/>
    <w:rsid w:val="00FC70FB"/>
    <w:rsid w:val="00FD143D"/>
    <w:rsid w:val="00FD64E5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D300-3974-4F0A-AD98-55EB237A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370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47</cp:revision>
  <dcterms:created xsi:type="dcterms:W3CDTF">2014-12-22T04:07:00Z</dcterms:created>
  <dcterms:modified xsi:type="dcterms:W3CDTF">2015-08-08T04:29:00Z</dcterms:modified>
</cp:coreProperties>
</file>