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33" w:rsidRPr="00AB75D5" w:rsidRDefault="005A03C6" w:rsidP="003C3C5F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bookmarkStart w:id="0" w:name="_GoBack"/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t>بسم‌الله</w:t>
      </w:r>
      <w:r w:rsidR="00473B33"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bookmarkEnd w:id="0"/>
      <w:r w:rsidR="00473B33"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t>الرحمن الرحیم</w:t>
      </w:r>
    </w:p>
    <w:p w:rsidR="0062577C" w:rsidRPr="00AB75D5" w:rsidRDefault="0062577C" w:rsidP="003C3C5F">
      <w:pPr>
        <w:bidi/>
        <w:jc w:val="both"/>
        <w:rPr>
          <w:rFonts w:ascii="IRBadr" w:hAnsi="IRBadr" w:cs="IRBadr"/>
          <w:noProof/>
        </w:rPr>
      </w:pP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AB75D5">
        <w:rPr>
          <w:rFonts w:ascii="IRBadr" w:hAnsi="IRBadr" w:cs="IRBadr"/>
          <w:b/>
          <w:bCs/>
          <w:sz w:val="28"/>
          <w:szCs w:val="28"/>
          <w:lang w:bidi="fa-IR"/>
        </w:rPr>
        <w:instrText>TOC</w:instrText>
      </w: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\</w:instrText>
      </w:r>
      <w:r w:rsidRPr="00AB75D5">
        <w:rPr>
          <w:rFonts w:ascii="IRBadr" w:hAnsi="IRBadr" w:cs="IRBadr"/>
          <w:b/>
          <w:bCs/>
          <w:sz w:val="28"/>
          <w:szCs w:val="28"/>
          <w:lang w:bidi="fa-IR"/>
        </w:rPr>
        <w:instrText>o "</w:instrText>
      </w: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instrText>1-4</w:instrText>
      </w:r>
      <w:r w:rsidRPr="00AB75D5">
        <w:rPr>
          <w:rFonts w:ascii="IRBadr" w:hAnsi="IRBadr" w:cs="IRBadr"/>
          <w:b/>
          <w:bCs/>
          <w:sz w:val="28"/>
          <w:szCs w:val="28"/>
          <w:lang w:bidi="fa-IR"/>
        </w:rPr>
        <w:instrText>" \h \z \u</w:instrText>
      </w: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</w:p>
    <w:p w:rsidR="0062577C" w:rsidRPr="00AB75D5" w:rsidRDefault="009265F6" w:rsidP="003C3C5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05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تعزیر صبی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_Toc427625905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2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06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مروری بر بحث گذشته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_Toc427625906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2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07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حکم مقام اول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_Toc427625907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2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08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حکم اول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_Toc427625908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2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09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حکم دوم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_Toc427625909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3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0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مستند این مقام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_Toc427625910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3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1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 اول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_Toc427625911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3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2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_Toc427625912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4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3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جمع‌بندی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_Toc427625913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4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4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 دوم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_Toc427625914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4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5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بررسی روایت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_Toc427625915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5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6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 سوم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_Toc427625916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5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7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 چهارم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_Toc427625917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5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8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 پنجم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_Toc427625918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6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19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 ششم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_Toc427625919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6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25920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جمع‌بندی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_Toc427625920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7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1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مقام دوم: ارتکاب افعال تعزیری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_Toc427625921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7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2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روایتی در این باب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_Toc427625922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7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3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دلیل دوم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_Toc427625923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8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4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_Toc427625924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8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5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دلیل سوم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_Toc427625925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9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6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دلیل چهارم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_Toc427625926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9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9265F6" w:rsidP="003C3C5F">
      <w:pPr>
        <w:pStyle w:val="TOC3"/>
        <w:tabs>
          <w:tab w:val="right" w:leader="dot" w:pos="9350"/>
        </w:tabs>
        <w:rPr>
          <w:rFonts w:ascii="IRBadr" w:eastAsiaTheme="minorEastAsia" w:hAnsi="IRBadr" w:cs="IRBadr"/>
          <w:noProof/>
          <w:szCs w:val="22"/>
        </w:rPr>
      </w:pPr>
      <w:hyperlink w:anchor="_Toc427625927" w:history="1">
        <w:r w:rsidR="0062577C" w:rsidRPr="00AB75D5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62577C" w:rsidRPr="00AB75D5">
          <w:rPr>
            <w:rFonts w:ascii="IRBadr" w:hAnsi="IRBadr" w:cs="IRBadr"/>
            <w:noProof/>
            <w:webHidden/>
          </w:rPr>
          <w:tab/>
        </w:r>
        <w:r w:rsidR="0062577C" w:rsidRPr="00AB75D5">
          <w:rPr>
            <w:rFonts w:ascii="IRBadr" w:hAnsi="IRBadr" w:cs="IRBadr"/>
            <w:noProof/>
            <w:webHidden/>
          </w:rPr>
          <w:fldChar w:fldCharType="begin"/>
        </w:r>
        <w:r w:rsidR="0062577C" w:rsidRPr="00AB75D5">
          <w:rPr>
            <w:rFonts w:ascii="IRBadr" w:hAnsi="IRBadr" w:cs="IRBadr"/>
            <w:noProof/>
            <w:webHidden/>
          </w:rPr>
          <w:instrText xml:space="preserve"> PAGEREF _Toc427625927 \h </w:instrText>
        </w:r>
        <w:r w:rsidR="0062577C" w:rsidRPr="00AB75D5">
          <w:rPr>
            <w:rFonts w:ascii="IRBadr" w:hAnsi="IRBadr" w:cs="IRBadr"/>
            <w:noProof/>
            <w:webHidden/>
          </w:rPr>
        </w:r>
        <w:r w:rsidR="0062577C" w:rsidRPr="00AB75D5">
          <w:rPr>
            <w:rFonts w:ascii="IRBadr" w:hAnsi="IRBadr" w:cs="IRBadr"/>
            <w:noProof/>
            <w:webHidden/>
          </w:rPr>
          <w:fldChar w:fldCharType="separate"/>
        </w:r>
        <w:r w:rsidR="0062577C" w:rsidRPr="00AB75D5">
          <w:rPr>
            <w:rFonts w:ascii="IRBadr" w:hAnsi="IRBadr" w:cs="IRBadr"/>
            <w:noProof/>
            <w:webHidden/>
          </w:rPr>
          <w:t>9</w:t>
        </w:r>
        <w:r w:rsidR="0062577C" w:rsidRPr="00AB75D5">
          <w:rPr>
            <w:rFonts w:ascii="IRBadr" w:hAnsi="IRBadr" w:cs="IRBadr"/>
            <w:noProof/>
            <w:webHidden/>
          </w:rPr>
          <w:fldChar w:fldCharType="end"/>
        </w:r>
      </w:hyperlink>
    </w:p>
    <w:p w:rsidR="0062577C" w:rsidRPr="00AB75D5" w:rsidRDefault="0062577C" w:rsidP="003C3C5F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AB75D5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473B33" w:rsidRPr="00AB75D5" w:rsidRDefault="00D66699" w:rsidP="003C3C5F">
      <w:pPr>
        <w:pStyle w:val="Heading1"/>
        <w:rPr>
          <w:rFonts w:ascii="IRBadr" w:hAnsi="IRBadr" w:cs="IRBadr"/>
          <w:rtl/>
        </w:rPr>
      </w:pPr>
      <w:bookmarkStart w:id="1" w:name="_Toc427625905"/>
      <w:r w:rsidRPr="00AB75D5">
        <w:rPr>
          <w:rFonts w:ascii="IRBadr" w:hAnsi="IRBadr" w:cs="IRBadr"/>
          <w:rtl/>
        </w:rPr>
        <w:lastRenderedPageBreak/>
        <w:t>تعزیر صبی</w:t>
      </w:r>
      <w:bookmarkEnd w:id="1"/>
    </w:p>
    <w:p w:rsidR="00D66699" w:rsidRPr="00AB75D5" w:rsidRDefault="00D66699" w:rsidP="003C3C5F">
      <w:pPr>
        <w:pStyle w:val="Heading1"/>
        <w:rPr>
          <w:rFonts w:ascii="IRBadr" w:hAnsi="IRBadr" w:cs="IRBadr"/>
          <w:rtl/>
        </w:rPr>
      </w:pPr>
      <w:bookmarkStart w:id="2" w:name="_Toc427625906"/>
      <w:r w:rsidRPr="00AB75D5">
        <w:rPr>
          <w:rFonts w:ascii="IRBadr" w:hAnsi="IRBadr" w:cs="IRBadr"/>
          <w:rtl/>
        </w:rPr>
        <w:t>مروری بر بحث گذشته</w:t>
      </w:r>
      <w:bookmarkEnd w:id="2"/>
    </w:p>
    <w:p w:rsidR="00D66699" w:rsidRPr="00AB75D5" w:rsidRDefault="00D66699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در اینجا چند مقام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قرار گرفت،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یک مقام این است که اگر صبی کارهایی که موجب حد است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را انجام دهد،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حکمش چیست؟ مثل زنا و سرقت.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بحث دیگر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است که اگر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صبی گناهانی که برای دیگران تعزیر دارد صادر بشود، حکمش چیست؟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و بحث دیگر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هم حکم تأدیب صبی در مسائل تربیتی و اخلاقی و آزاد اجتماعی است.</w:t>
      </w:r>
    </w:p>
    <w:p w:rsidR="00D66699" w:rsidRPr="00AB75D5" w:rsidRDefault="00D66699" w:rsidP="003C3C5F">
      <w:pPr>
        <w:pStyle w:val="Heading2"/>
        <w:rPr>
          <w:rFonts w:ascii="IRBadr" w:hAnsi="IRBadr" w:cs="IRBadr"/>
          <w:rtl/>
        </w:rPr>
      </w:pPr>
      <w:bookmarkStart w:id="3" w:name="_Toc427625907"/>
      <w:r w:rsidRPr="00AB75D5">
        <w:rPr>
          <w:rFonts w:ascii="IRBadr" w:hAnsi="IRBadr" w:cs="IRBadr"/>
          <w:rtl/>
        </w:rPr>
        <w:t>حکم مقام اول</w:t>
      </w:r>
      <w:bookmarkEnd w:id="3"/>
    </w:p>
    <w:p w:rsidR="00D66699" w:rsidRPr="00AB75D5" w:rsidRDefault="00D66699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در قبال حکم مقام اول باید گفت که در اینجا دو حکم وجود دارد و محل اختلاف نیز نیست.</w:t>
      </w:r>
    </w:p>
    <w:p w:rsidR="00D66699" w:rsidRPr="00AB75D5" w:rsidRDefault="00D66699" w:rsidP="003C3C5F">
      <w:pPr>
        <w:pStyle w:val="Heading2"/>
        <w:rPr>
          <w:rFonts w:ascii="IRBadr" w:hAnsi="IRBadr" w:cs="IRBadr"/>
          <w:rtl/>
        </w:rPr>
      </w:pPr>
      <w:bookmarkStart w:id="4" w:name="_Toc427625908"/>
      <w:r w:rsidRPr="00AB75D5">
        <w:rPr>
          <w:rFonts w:ascii="IRBadr" w:hAnsi="IRBadr" w:cs="IRBadr"/>
          <w:rtl/>
        </w:rPr>
        <w:t>حکم اول</w:t>
      </w:r>
      <w:bookmarkEnd w:id="4"/>
    </w:p>
    <w:p w:rsidR="00D66699" w:rsidRPr="00AB75D5" w:rsidRDefault="00D66699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حکم اول این است که حدود برای صبی نیست،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برای ممیز هم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وجود دارد که برای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نیز حدودی نیست.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جنبه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جنبه‌ای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تنبیهی خواهد بود.</w:t>
      </w:r>
    </w:p>
    <w:p w:rsidR="00D66699" w:rsidRPr="00AB75D5" w:rsidRDefault="00D66699" w:rsidP="003C3C5F">
      <w:pPr>
        <w:pStyle w:val="Heading2"/>
        <w:rPr>
          <w:rFonts w:ascii="IRBadr" w:hAnsi="IRBadr" w:cs="IRBadr"/>
          <w:rtl/>
        </w:rPr>
      </w:pPr>
      <w:bookmarkStart w:id="5" w:name="_Toc427625909"/>
      <w:r w:rsidRPr="00AB75D5">
        <w:rPr>
          <w:rFonts w:ascii="IRBadr" w:hAnsi="IRBadr" w:cs="IRBadr"/>
          <w:rtl/>
        </w:rPr>
        <w:t>حکم دوم</w:t>
      </w:r>
      <w:bookmarkEnd w:id="5"/>
    </w:p>
    <w:p w:rsidR="004B734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جنبه حکم دوم که جنبه اثباتی است، این است که </w:t>
      </w:r>
      <w:r w:rsidR="00D66699" w:rsidRPr="00AB75D5">
        <w:rPr>
          <w:rFonts w:ascii="IRBadr" w:hAnsi="IRBadr" w:cs="IRBadr"/>
          <w:sz w:val="28"/>
          <w:szCs w:val="28"/>
          <w:rtl/>
          <w:lang w:bidi="fa-IR"/>
        </w:rPr>
        <w:t xml:space="preserve">برای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صبی ممیز تعزیر ثابت است، تعزیری که </w:t>
      </w:r>
      <w:r w:rsidR="00D66699" w:rsidRPr="00AB75D5">
        <w:rPr>
          <w:rFonts w:ascii="IRBadr" w:hAnsi="IRBadr" w:cs="IRBadr"/>
          <w:sz w:val="28"/>
          <w:szCs w:val="28"/>
          <w:rtl/>
          <w:lang w:bidi="fa-IR"/>
        </w:rPr>
        <w:t>کیفیت و مقدار آن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دست حاکم است</w:t>
      </w:r>
      <w:r w:rsidR="00D66699" w:rsidRPr="00AB75D5">
        <w:rPr>
          <w:rFonts w:ascii="IRBadr" w:hAnsi="IRBadr" w:cs="IRBadr"/>
          <w:sz w:val="28"/>
          <w:szCs w:val="28"/>
          <w:rtl/>
          <w:lang w:bidi="fa-IR"/>
        </w:rPr>
        <w:t>.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66699" w:rsidRPr="00AB75D5">
        <w:rPr>
          <w:rFonts w:ascii="IRBadr" w:hAnsi="IRBadr" w:cs="IRBadr"/>
          <w:sz w:val="28"/>
          <w:szCs w:val="28"/>
          <w:rtl/>
          <w:lang w:bidi="fa-IR"/>
        </w:rPr>
        <w:t xml:space="preserve"> قبال حکم این مقام باید افزود که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تعزیر و تأدیب بر گناهانی که از بالغ گناه</w:t>
      </w:r>
      <w:r w:rsidR="00D66699" w:rsidRPr="00AB75D5">
        <w:rPr>
          <w:rFonts w:ascii="IRBadr" w:hAnsi="IRBadr" w:cs="IRBadr"/>
          <w:sz w:val="28"/>
          <w:szCs w:val="28"/>
          <w:rtl/>
          <w:lang w:bidi="fa-IR"/>
        </w:rPr>
        <w:t xml:space="preserve"> محسوب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برای</w:t>
      </w:r>
      <w:r w:rsidR="00D66699" w:rsidRPr="00AB75D5">
        <w:rPr>
          <w:rFonts w:ascii="IRBadr" w:hAnsi="IRBadr" w:cs="IRBadr"/>
          <w:sz w:val="28"/>
          <w:szCs w:val="28"/>
          <w:rtl/>
          <w:lang w:bidi="fa-IR"/>
        </w:rPr>
        <w:t xml:space="preserve"> او نیز ثابت است و تعزیر را در پی خواهد داشت.</w:t>
      </w:r>
    </w:p>
    <w:p w:rsidR="00D66699" w:rsidRPr="00AB75D5" w:rsidRDefault="004B734C" w:rsidP="003C3C5F">
      <w:pPr>
        <w:pStyle w:val="Heading2"/>
        <w:rPr>
          <w:rFonts w:ascii="IRBadr" w:hAnsi="IRBadr" w:cs="IRBadr"/>
          <w:rtl/>
        </w:rPr>
      </w:pPr>
      <w:bookmarkStart w:id="6" w:name="_Toc427625910"/>
      <w:r w:rsidRPr="00AB75D5">
        <w:rPr>
          <w:rFonts w:ascii="IRBadr" w:hAnsi="IRBadr" w:cs="IRBadr"/>
          <w:rtl/>
        </w:rPr>
        <w:t>مستند این مقام</w:t>
      </w:r>
      <w:bookmarkEnd w:id="6"/>
    </w:p>
    <w:p w:rsidR="004B734C" w:rsidRPr="00AB75D5" w:rsidRDefault="004B734C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روایاتی در این زمینه وجود دارد که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نمونه ذکر خواهد شد.</w:t>
      </w:r>
    </w:p>
    <w:p w:rsidR="004B734C" w:rsidRPr="00AB75D5" w:rsidRDefault="004B734C" w:rsidP="003C3C5F">
      <w:pPr>
        <w:pStyle w:val="Heading2"/>
        <w:rPr>
          <w:rFonts w:ascii="IRBadr" w:hAnsi="IRBadr" w:cs="IRBadr"/>
          <w:rtl/>
        </w:rPr>
      </w:pPr>
      <w:bookmarkStart w:id="7" w:name="_Toc427625911"/>
      <w:r w:rsidRPr="00AB75D5">
        <w:rPr>
          <w:rFonts w:ascii="IRBadr" w:hAnsi="IRBadr" w:cs="IRBadr"/>
          <w:rtl/>
        </w:rPr>
        <w:lastRenderedPageBreak/>
        <w:t>روایت اول</w:t>
      </w:r>
      <w:bookmarkEnd w:id="7"/>
    </w:p>
    <w:p w:rsidR="004B734C" w:rsidRPr="00AB75D5" w:rsidRDefault="004B734C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روایت اول در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جلد هیجده، ابواب مقدمات حدود، باب اول،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حدیث اول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در صفحه سیصد و شصت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روایت صحیحه و معتبره است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FC62A4" w:rsidRPr="00AB75D5" w:rsidRDefault="00FC62A4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اللّهِ عل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 السلام، قَالَ: «إِنَّ فِ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تَابِ عَلِ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عل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 السلام أَنَّهُ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ضْرِبُ بِالسَّوْطِ وَبِنِصْفِ السَّوْطِ وَبِبَعْضِهِ فِ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الْحُدُودِ، وَ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إِذَا أُتِ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بِغُلَامٍ وَجَارِ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ةٍ لَمْ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دْرِ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لَا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بْطِلُ حَدّاً مِنْ حُدُودِ اللّهِ عَزَّ وَجَلَّ». </w:t>
      </w:r>
      <w:r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4B734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حضرت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فرمودند: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از حدود الهی را نسبت به صبی و صبیه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بچه‌های غیر بالغ ابطال نمی‌کند. شاید به ذهن کسی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بیاید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که یعنی همان حد زنا یا سرقت یا شرب خمر جاری است. از حضرت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سؤال شد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به چه نحوی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می‌زنند؟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وسط شلاق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یا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یک‌سوم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شلاق را می‌گرفت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ند تا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دردش کمتر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شود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B734C" w:rsidRPr="00AB75D5" w:rsidRDefault="004B734C" w:rsidP="003C3C5F">
      <w:pPr>
        <w:pStyle w:val="Heading2"/>
        <w:rPr>
          <w:rFonts w:ascii="IRBadr" w:hAnsi="IRBadr" w:cs="IRBadr"/>
          <w:rtl/>
        </w:rPr>
      </w:pPr>
      <w:bookmarkStart w:id="8" w:name="_Toc427625912"/>
      <w:r w:rsidRPr="00AB75D5">
        <w:rPr>
          <w:rFonts w:ascii="IRBadr" w:hAnsi="IRBadr" w:cs="IRBadr"/>
          <w:rtl/>
        </w:rPr>
        <w:t>بررسی روایت</w:t>
      </w:r>
      <w:bookmarkEnd w:id="8"/>
    </w:p>
    <w:p w:rsidR="004B734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اینجا یکی از مواردی است که حد در معنای مطلق تعزیر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است.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گناهان برای بالغین حد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وجود دارد 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برای غیر بالغ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ین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تعزیر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و حضرت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نیز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را اجرا می‌کرد. منتها برای غیر بالغ حد به معنای خاص نیست. حد به معنای مطلق یعنی تعزیر است.</w:t>
      </w:r>
    </w:p>
    <w:p w:rsidR="004B734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این روایت که صحیحه است،، در مطلق حدود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قاعده کلی می‌دهد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که برای غیر بالغ آن حدود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به‌طور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کامل جاری نمی‌شود،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ازنظر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سلبی قضیه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نیز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جاری می‌شود، 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>البته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تعیین مقدارش هم تابع تشخیص حاکم است. با توجه به سن، حال او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اوضاع دیگری که وجود دارد تعزیری نسبت به بقیه انجام می‌دهد. و از طرف دیگر هم این روایت به صبی ممیز</w:t>
      </w:r>
      <w:r w:rsidR="004B734C" w:rsidRPr="00AB75D5">
        <w:rPr>
          <w:rFonts w:ascii="IRBadr" w:hAnsi="IRBadr" w:cs="IRBadr"/>
          <w:sz w:val="28"/>
          <w:szCs w:val="28"/>
          <w:rtl/>
          <w:lang w:bidi="fa-IR"/>
        </w:rPr>
        <w:t xml:space="preserve"> انصراف دارد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3731F" w:rsidRPr="00AB75D5" w:rsidRDefault="005A03C6" w:rsidP="003C3C5F">
      <w:pPr>
        <w:pStyle w:val="Heading2"/>
        <w:rPr>
          <w:rFonts w:ascii="IRBadr" w:hAnsi="IRBadr" w:cs="IRBadr"/>
          <w:rtl/>
        </w:rPr>
      </w:pPr>
      <w:bookmarkStart w:id="9" w:name="_Toc427625913"/>
      <w:r w:rsidRPr="00AB75D5">
        <w:rPr>
          <w:rFonts w:ascii="IRBadr" w:hAnsi="IRBadr" w:cs="IRBadr"/>
          <w:rtl/>
        </w:rPr>
        <w:t>جمع‌بندی</w:t>
      </w:r>
      <w:bookmarkEnd w:id="9"/>
    </w:p>
    <w:p w:rsidR="00C3731F" w:rsidRPr="00AB75D5" w:rsidRDefault="00C3731F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از طرفی دیگر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دلیل متقنی که می‌گوید معاصی کبیره مطلقاً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تعزیر دارد،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شامل افعالی که از صبی یا مجنون یا در حال سهو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صادرشده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باشد، نمی‌شود. چون تکلیف ندارد. در عبادات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این امر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موردبحث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است، ولی در اینکه عقاب نمی‌شود،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اتفاق‌نظر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است. لذاست در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مقدمه باید عرض کنم که آنچه برای دیگران حد دارد، اگر از صبی صادر بشود،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در آنجا تعزیری نیست. برای اینکه قاعده کلی نداریم،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هرجایی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حد نبود تعزیر است.</w:t>
      </w:r>
    </w:p>
    <w:p w:rsidR="00C3731F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قاعده کلی </w:t>
      </w:r>
      <w:r w:rsidR="00C3731F" w:rsidRPr="00AB75D5">
        <w:rPr>
          <w:rFonts w:ascii="IRBadr" w:hAnsi="IRBadr" w:cs="IRBadr"/>
          <w:sz w:val="28"/>
          <w:szCs w:val="28"/>
          <w:rtl/>
          <w:lang w:bidi="fa-IR"/>
        </w:rPr>
        <w:t>این است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که در مطلق معاصی کبیره تعزیر ثابت است</w:t>
      </w:r>
      <w:r w:rsidR="00C3731F" w:rsidRPr="00AB75D5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شامل صبی نمی‌شود، چون صبی معصیتی ندارد. لذا باید ببینیم روایات در باب صبی چه می‌گوید.</w:t>
      </w:r>
    </w:p>
    <w:p w:rsidR="0017248C" w:rsidRPr="00AB75D5" w:rsidRDefault="0017248C" w:rsidP="003C3C5F">
      <w:pPr>
        <w:pStyle w:val="Heading2"/>
        <w:rPr>
          <w:rFonts w:ascii="IRBadr" w:hAnsi="IRBadr" w:cs="IRBadr"/>
          <w:rtl/>
        </w:rPr>
      </w:pPr>
      <w:bookmarkStart w:id="10" w:name="_Toc427625914"/>
      <w:r w:rsidRPr="00AB75D5">
        <w:rPr>
          <w:rFonts w:ascii="IRBadr" w:hAnsi="IRBadr" w:cs="IRBadr"/>
          <w:rtl/>
        </w:rPr>
        <w:t>روایت دوم</w:t>
      </w:r>
      <w:bookmarkEnd w:id="10"/>
    </w:p>
    <w:p w:rsidR="00C3731F" w:rsidRPr="00AB75D5" w:rsidRDefault="00C3731F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یکی از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روایات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بود که حضرت می‌فرماید:</w:t>
      </w:r>
    </w:p>
    <w:p w:rsidR="00C3731F" w:rsidRPr="00AB75D5" w:rsidRDefault="007E48FF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3731F" w:rsidRPr="00AB75D5">
        <w:rPr>
          <w:rFonts w:ascii="IRBadr" w:hAnsi="IRBadr" w:cs="IRBadr"/>
          <w:sz w:val="28"/>
          <w:szCs w:val="28"/>
          <w:rtl/>
          <w:lang w:bidi="fa-IR"/>
        </w:rPr>
        <w:t xml:space="preserve">(ع)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="00C3731F" w:rsidRPr="00AB75D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ابطال نمی‌کرد منتها در مورد صبی تعزیر می‌</w:t>
      </w:r>
      <w:r w:rsidR="00C3731F" w:rsidRPr="00AB75D5">
        <w:rPr>
          <w:rFonts w:ascii="IRBadr" w:hAnsi="IRBadr" w:cs="IRBadr"/>
          <w:sz w:val="28"/>
          <w:szCs w:val="28"/>
          <w:rtl/>
          <w:lang w:bidi="fa-IR"/>
        </w:rPr>
        <w:t>نمو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د.</w:t>
      </w:r>
    </w:p>
    <w:p w:rsidR="00C3731F" w:rsidRPr="00AB75D5" w:rsidRDefault="00C3731F" w:rsidP="003C3C5F">
      <w:pPr>
        <w:pStyle w:val="Heading2"/>
        <w:rPr>
          <w:rFonts w:ascii="IRBadr" w:hAnsi="IRBadr" w:cs="IRBadr"/>
          <w:rtl/>
        </w:rPr>
      </w:pPr>
      <w:bookmarkStart w:id="11" w:name="_Toc427625915"/>
      <w:r w:rsidRPr="00AB75D5">
        <w:rPr>
          <w:rFonts w:ascii="IRBadr" w:hAnsi="IRBadr" w:cs="IRBadr"/>
          <w:rtl/>
        </w:rPr>
        <w:t>بررسی روایت</w:t>
      </w:r>
      <w:bookmarkEnd w:id="11"/>
    </w:p>
    <w:p w:rsidR="00C3731F" w:rsidRPr="00AB75D5" w:rsidRDefault="00C3731F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در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اینجا یک احتمال دیگر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وجود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دارد که این مطلق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است و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قطعاً با همه مواردی که حد به معنای خاص ثابت است، آن را شامل می‌شود. اما معاصی دیگری که حد به معنای خاص ندارد،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در قبال آن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مقدار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تردید است. برای اینکه معلوم نیست،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حدودالله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معنای عام است یا به معنای خاص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استعمال شده است؟</w:t>
      </w:r>
    </w:p>
    <w:p w:rsidR="0017248C" w:rsidRPr="00AB75D5" w:rsidRDefault="0017248C" w:rsidP="003C3C5F">
      <w:pPr>
        <w:pStyle w:val="Heading2"/>
        <w:rPr>
          <w:rFonts w:ascii="IRBadr" w:hAnsi="IRBadr" w:cs="IRBadr"/>
          <w:rtl/>
        </w:rPr>
      </w:pPr>
      <w:bookmarkStart w:id="12" w:name="_Toc427625916"/>
      <w:r w:rsidRPr="00AB75D5">
        <w:rPr>
          <w:rFonts w:ascii="IRBadr" w:hAnsi="IRBadr" w:cs="IRBadr"/>
          <w:rtl/>
        </w:rPr>
        <w:t>روایت سوم</w:t>
      </w:r>
      <w:bookmarkEnd w:id="12"/>
    </w:p>
    <w:p w:rsidR="0017248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روایت دیگر برای مسئله ابواب حد زنا،</w:t>
      </w:r>
      <w:r w:rsidR="0017248C" w:rsidRPr="00AB75D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باب نهم، صفحه سیصد و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شصت‌ودو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است. این روایت هم ظاهراً معتبره است</w:t>
      </w:r>
      <w:r w:rsidR="0017248C"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C62A4" w:rsidRPr="00AB75D5" w:rsidRDefault="00FC62A4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وَ مُحَمَّدُ بْنُ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مُحَمَّدٍ جَمِ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عاً عَنِ ابْنِ مَحْبُوبٍ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وبَ الْخَزَّازِ عَنْ سُلَ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مَانَ بْنِ خَالِدٍ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بَصِ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فِ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غُلَامٍ صَغِ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رٍ لَمْ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دْرِ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ابْنِ عَشْرِ سِنِ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زَنَ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بِامْرَأَةٍ قَالَ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جْلَدُ الْغُلَامُ دُونَ الْحَدِّ وَ تُجْلَدُ الْمَرْأَةُ الْحَدَّ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امِلًا قِ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 لَهُ فَإِنْ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انَتْ مُحْصَنَةً قَالَ لَا تُرْجَمُ لِأَنَّ الَّذِ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حَهَا 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بِمُدْرِ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لَوْ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مُدْرِ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اً رُجِمَتْ.» </w:t>
      </w:r>
      <w:r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17248C" w:rsidRPr="00AB75D5" w:rsidRDefault="0017248C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روایت از سند و دلالت مطلوبی برخوردار است، دلالت آن در تعزیر درست است اما مقدار آن تعیین نشده است.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این روایت هم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در خصوص زنا است،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منتها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القای خصوصیت می‌شود.</w:t>
      </w:r>
    </w:p>
    <w:p w:rsidR="0017248C" w:rsidRPr="00AB75D5" w:rsidRDefault="0017248C" w:rsidP="003C3C5F">
      <w:pPr>
        <w:pStyle w:val="Heading2"/>
        <w:rPr>
          <w:rFonts w:ascii="IRBadr" w:hAnsi="IRBadr" w:cs="IRBadr"/>
          <w:rtl/>
        </w:rPr>
      </w:pPr>
      <w:bookmarkStart w:id="13" w:name="_Toc427625917"/>
      <w:r w:rsidRPr="00AB75D5">
        <w:rPr>
          <w:rFonts w:ascii="IRBadr" w:hAnsi="IRBadr" w:cs="IRBadr"/>
          <w:rtl/>
        </w:rPr>
        <w:lastRenderedPageBreak/>
        <w:t>روایت چهارم</w:t>
      </w:r>
      <w:bookmarkEnd w:id="13"/>
    </w:p>
    <w:p w:rsidR="0017248C" w:rsidRPr="00AB75D5" w:rsidRDefault="0017248C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روایت بعدی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روایت معتبره ای است.</w:t>
      </w:r>
    </w:p>
    <w:p w:rsidR="00FC62A4" w:rsidRPr="00AB75D5" w:rsidRDefault="00FC62A4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«أَحْمَدُ بْنُ مُحَمَّدٍ عَنِ ابْنِ فَضَّالٍ عَنِ ابْنِ بُ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قَالَ سَأَلْتُ أَبَا عَبْدِ اللَّهِ ع فِ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آخِرِ مَا لَقِ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تُهُ عَنْ غُلَامٍ لَمْ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بْلُغِ الْحُلُمَ وَقَعَ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امْرَأَةٍ أَوْ فَجَرَ بِامْرَأَةٍ أَ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‌ءٍ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صْنَعُ بِهِمَا قَالَ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ضْرَبُ الْغُلَامُ دُونَ الْحَدِّ وَ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قَامُ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الْمَرْأَةِ الْحَدُّ قُلْتُ جَارِ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ةٌ لَمْ تَبْلُغْ وُجِدَتْ مَعَ رَجُلٍ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فْجُرُ بِهَا قَالَ تُضْرَبُ الْجَارِ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ةُ دُونَ الْحَدِّ وَ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قَامُ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الرَّجُلِ الْحَدُّ.» </w:t>
      </w:r>
      <w:r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17248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می‌گوید در آخرین باری که ایشان را ملاقات کردم، از او سؤال کردم. چون ابی مریم راوی است </w:t>
      </w:r>
      <w:r w:rsidR="0017248C" w:rsidRPr="00AB75D5">
        <w:rPr>
          <w:rFonts w:ascii="IRBadr" w:hAnsi="IRBadr" w:cs="IRBadr"/>
          <w:sz w:val="28"/>
          <w:szCs w:val="28"/>
          <w:rtl/>
          <w:lang w:bidi="fa-IR"/>
        </w:rPr>
        <w:t>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روایت زیاد</w:t>
      </w:r>
      <w:r w:rsidR="0017248C" w:rsidRPr="00AB75D5">
        <w:rPr>
          <w:rFonts w:ascii="IRBadr" w:hAnsi="IRBadr" w:cs="IRBadr"/>
          <w:sz w:val="28"/>
          <w:szCs w:val="28"/>
          <w:rtl/>
          <w:lang w:bidi="fa-IR"/>
        </w:rPr>
        <w:t>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هم دارد. قاعدتاً قبل از شهادت حضرت </w:t>
      </w:r>
      <w:r w:rsidR="0017248C" w:rsidRPr="00AB75D5">
        <w:rPr>
          <w:rFonts w:ascii="IRBadr" w:hAnsi="IRBadr" w:cs="IRBadr"/>
          <w:sz w:val="28"/>
          <w:szCs w:val="28"/>
          <w:rtl/>
          <w:lang w:bidi="fa-IR"/>
        </w:rPr>
        <w:t xml:space="preserve">در مدینه بوده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است.</w:t>
      </w:r>
    </w:p>
    <w:p w:rsidR="0017248C" w:rsidRPr="00AB75D5" w:rsidRDefault="0017248C" w:rsidP="003C3C5F">
      <w:pPr>
        <w:pStyle w:val="Heading2"/>
        <w:rPr>
          <w:rFonts w:ascii="IRBadr" w:hAnsi="IRBadr" w:cs="IRBadr"/>
          <w:rtl/>
        </w:rPr>
      </w:pPr>
      <w:bookmarkStart w:id="14" w:name="_Toc427625918"/>
      <w:r w:rsidRPr="00AB75D5">
        <w:rPr>
          <w:rFonts w:ascii="IRBadr" w:hAnsi="IRBadr" w:cs="IRBadr"/>
          <w:rtl/>
        </w:rPr>
        <w:t>روایت پنجم</w:t>
      </w:r>
      <w:bookmarkEnd w:id="14"/>
    </w:p>
    <w:p w:rsidR="0017248C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روایت پنجم هم گفته</w:t>
      </w:r>
      <w:r w:rsidR="0017248C"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FC62A4" w:rsidRPr="00AB75D5" w:rsidRDefault="00FC62A4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سَأَلْتُهُ عَنْ صَبِ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وَقَعَ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امْرَأَةٍ- قَالَ تُجْلَدُ الْمَرْأَةُ وَ 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الصَّبِ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شَ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‌ءٌ.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17248C" w:rsidRPr="00AB75D5" w:rsidRDefault="0017248C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چند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روایت نفی حد می‌کند. اما این دو روایت اول و دوم نفی حد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کرده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و تعزیر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اثبات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می‌کند.</w:t>
      </w:r>
    </w:p>
    <w:p w:rsidR="0017248C" w:rsidRPr="00AB75D5" w:rsidRDefault="0017248C" w:rsidP="003C3C5F">
      <w:pPr>
        <w:pStyle w:val="Heading2"/>
        <w:rPr>
          <w:rFonts w:ascii="IRBadr" w:hAnsi="IRBadr" w:cs="IRBadr"/>
          <w:rtl/>
        </w:rPr>
      </w:pPr>
      <w:bookmarkStart w:id="15" w:name="_Toc427625919"/>
      <w:r w:rsidRPr="00AB75D5">
        <w:rPr>
          <w:rFonts w:ascii="IRBadr" w:hAnsi="IRBadr" w:cs="IRBadr"/>
          <w:rtl/>
        </w:rPr>
        <w:t>روایت ششم</w:t>
      </w:r>
      <w:bookmarkEnd w:id="15"/>
    </w:p>
    <w:p w:rsidR="00BB6399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در ابواب لواط هم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روایتی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هست. باب دوم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ابواب حد لواط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صفحه چهارصد و هیجده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C62A4" w:rsidRPr="00AB75D5" w:rsidRDefault="00FC62A4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سَهْلِ بْنِ زِ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ادٍ عَنْ بَ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بْنِ صَالِحٍ عَنْ مُحَمَّدِ بْنِ سِنَانٍ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رٍ الْحَضْرَمِ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أُتِ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E48F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امیرالمؤمنین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بِرَجُلٍ وَ امْرَأَةٍ قَدْ لَاطَ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زوج‌ها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بِابْنِهَا مِنْ غَ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رِهِ وَ ثَقَبَهُ وَ شَهِدَ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بِذَلِ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الشُّهُودُ فَأَمَرَ بِهِ </w:t>
      </w:r>
      <w:r w:rsidR="007E48FF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امیرالمؤمنین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فَضُرِبَ بِالسَّ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فِ حَتَّ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قُتِلَ وَ ضُرِبَ الْغُلَامُ دُونَ الْحَدِّ وَ قَالَ أَمَا لَوْ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نْتَ مُدْرِ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اً لَقَتَلْتُ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لِإِمْ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اهُ مِنْ نَفْسِ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بِثَقْبِ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.»</w:t>
      </w:r>
      <w:r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BB6399" w:rsidRPr="00AB75D5" w:rsidRDefault="005A03C6" w:rsidP="003C3C5F">
      <w:pPr>
        <w:pStyle w:val="Heading2"/>
        <w:rPr>
          <w:rFonts w:ascii="IRBadr" w:hAnsi="IRBadr" w:cs="IRBadr"/>
          <w:rtl/>
        </w:rPr>
      </w:pPr>
      <w:bookmarkStart w:id="16" w:name="_Toc427625920"/>
      <w:r w:rsidRPr="00AB75D5">
        <w:rPr>
          <w:rFonts w:ascii="IRBadr" w:hAnsi="IRBadr" w:cs="IRBadr"/>
          <w:rtl/>
        </w:rPr>
        <w:t>جمع‌بندی</w:t>
      </w:r>
      <w:bookmarkEnd w:id="16"/>
    </w:p>
    <w:p w:rsidR="00BB6399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روایت اول مطلق است، گرچه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شبهه‌ای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به ذهن می‌آید که این روایت بحث ضرب به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سوط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است.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لذا غیر شلاق را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.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شبهه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قوی‌ای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نیست،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روایات دیگری نیز در این زمینه وجود دارد که در آنچه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ادعاشده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ظهور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ندارد.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بنابراین روایت حلبی روایت خوبی است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B6399" w:rsidRPr="00AB75D5" w:rsidRDefault="00BB6399" w:rsidP="003C3C5F">
      <w:pPr>
        <w:pStyle w:val="Heading3"/>
        <w:rPr>
          <w:rFonts w:ascii="IRBadr" w:hAnsi="IRBadr" w:cs="IRBadr"/>
          <w:rtl/>
        </w:rPr>
      </w:pPr>
      <w:bookmarkStart w:id="17" w:name="_Toc427625921"/>
      <w:r w:rsidRPr="00AB75D5">
        <w:rPr>
          <w:rFonts w:ascii="IRBadr" w:hAnsi="IRBadr" w:cs="IRBadr"/>
          <w:rtl/>
        </w:rPr>
        <w:t>مقام دوم:</w:t>
      </w:r>
      <w:r w:rsidR="005A03C6" w:rsidRPr="00AB75D5">
        <w:rPr>
          <w:rFonts w:ascii="IRBadr" w:hAnsi="IRBadr" w:cs="IRBadr"/>
          <w:rtl/>
        </w:rPr>
        <w:t xml:space="preserve"> ارتکاب</w:t>
      </w:r>
      <w:r w:rsidRPr="00AB75D5">
        <w:rPr>
          <w:rFonts w:ascii="IRBadr" w:hAnsi="IRBadr" w:cs="IRBadr"/>
          <w:rtl/>
        </w:rPr>
        <w:t xml:space="preserve"> افعال تعزیری</w:t>
      </w:r>
      <w:bookmarkEnd w:id="17"/>
    </w:p>
    <w:p w:rsidR="00BB6399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مقام دوم این است که اگر معاصی که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برای بالغین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تعزیر دارد،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از طرف صبی انجام شد،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حکمش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چیست؟</w:t>
      </w:r>
    </w:p>
    <w:p w:rsidR="00BB6399" w:rsidRPr="00AB75D5" w:rsidRDefault="005A03C6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هرجایی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که گفتیم بالغ تعزیر ندارد،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ط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بعاً صبی هم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تعزیر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ندارد. آنجایی که بالغ تعزیر دارد اگر صبی آن کار را انجام داد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،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محل بحث دوم است. اصل تعزیرش دلیل می‌خواهد. در اینجا ما روایات خیلی قوی و روشنی نداریم،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آن‌طور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که امام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ع)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نقل می‌کنند که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166F78" w:rsidRPr="00AB75D5" w:rsidRDefault="00166F78" w:rsidP="003C3C5F">
      <w:pPr>
        <w:pStyle w:val="Heading3"/>
        <w:rPr>
          <w:rFonts w:ascii="IRBadr" w:hAnsi="IRBadr" w:cs="IRBadr"/>
          <w:rtl/>
        </w:rPr>
      </w:pPr>
      <w:bookmarkStart w:id="18" w:name="_Toc427625922"/>
      <w:r w:rsidRPr="00AB75D5">
        <w:rPr>
          <w:rFonts w:ascii="IRBadr" w:hAnsi="IRBadr" w:cs="IRBadr"/>
          <w:rtl/>
        </w:rPr>
        <w:t>روایتی در این باب</w:t>
      </w:r>
      <w:bookmarkEnd w:id="18"/>
    </w:p>
    <w:p w:rsidR="00FC62A4" w:rsidRPr="00AB75D5" w:rsidRDefault="00FC62A4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«عِدَّةٌ مِنْ أَصْحَابِنَا عَنْ أَحْمَدَ بْنِ مُحَمَّدٍ عَنِ ابْنِ مَحْبُوبٍ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وبَ الْخَزَّازِ عَنِ الْحَلَبِ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إِنَّ فِ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تَابِ عَلِ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أَنَّهُ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ضْرِبُ بِالسَّوْطِ وَ بِنِصْفِ السَّوْطِ وَ بِبَعْضِهِ فِ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الْحُدُودِ وَ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انَ إِذَا أُتِ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بِغُلَامٍ وَ جَارِ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ةٍ لَمْ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دْرِ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لَا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بْطِلُ حَدّاً مِنْ حُدُودِ اللَّهِ عَزَّ وَ جَلَّ قِ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 لَهُ وَ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ضْرِبُ قَالَ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انَ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أْخُذُ السَّوْطَ بِ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دِهِ مِنْ وَسَطِهِ أَوْ مِنْ ثُلُثِهِ ثُمَّ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ضْرِبُ بِهِ عَلَ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قَدْرِ أَسْنَانِهِمْ وَ لَا 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بْطِلُ حَدّاً مِنْ حُدُودِ اللَّهِ عَزَّ وَ جَلَّ.»</w:t>
      </w:r>
      <w:r w:rsidR="00C43D1F"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BB6399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منظور از این حدود به معنای عام است. تعزیرات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هم شامل می‌شود.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این‌یک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راه می‌شود. قبلاً گفتیم، کلمه حد در روایات باب حدود دو استعمال دارد. گاهی حد گفته می‌شود مقصود خصوص حدود مقرره است. مثل باب زنا یا شرب خمر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>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گاهی حد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گفته 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می‌شود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و منظور مطلق </w:t>
      </w:r>
      <w:r w:rsidR="005505FD">
        <w:rPr>
          <w:rFonts w:ascii="IRBadr" w:hAnsi="IRBadr" w:cs="IRBadr"/>
          <w:sz w:val="28"/>
          <w:szCs w:val="28"/>
          <w:rtl/>
          <w:lang w:bidi="fa-IR"/>
        </w:rPr>
        <w:t>مجازات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شرعی است.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تعیین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هریک از این دو معنا نیازمند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="00BB6399" w:rsidRPr="00AB75D5">
        <w:rPr>
          <w:rFonts w:ascii="IRBadr" w:hAnsi="IRBadr" w:cs="IRBadr"/>
          <w:sz w:val="28"/>
          <w:szCs w:val="28"/>
          <w:rtl/>
          <w:lang w:bidi="fa-IR"/>
        </w:rPr>
        <w:t xml:space="preserve"> معینه است.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اینکه کسی بگوید در روایت است امام حد حدود را ابطال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نمی‌کرد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نگه‌داشتن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 حریم و حرمت داشتن تنها به حد خلاصه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 بلکه تعزیر را نیز دربر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66F78" w:rsidRPr="00AB75D5" w:rsidRDefault="00166F78" w:rsidP="003C3C5F">
      <w:pPr>
        <w:pStyle w:val="Heading3"/>
        <w:rPr>
          <w:rFonts w:ascii="IRBadr" w:hAnsi="IRBadr" w:cs="IRBadr"/>
          <w:rtl/>
        </w:rPr>
      </w:pPr>
      <w:bookmarkStart w:id="19" w:name="_Toc427625923"/>
      <w:r w:rsidRPr="00AB75D5">
        <w:rPr>
          <w:rFonts w:ascii="IRBadr" w:hAnsi="IRBadr" w:cs="IRBadr"/>
          <w:rtl/>
        </w:rPr>
        <w:t>دلیل دوم</w:t>
      </w:r>
      <w:bookmarkEnd w:id="19"/>
    </w:p>
    <w:p w:rsidR="00166F78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اما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درعین‌حال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ممکن است بگوییم نه، 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این عنایت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به همان حدود مقرره است، 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لذا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نمی‌شود به این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 اطمینان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پیدا کرد که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قرینه‌ای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وجود دارد که مطلق است. 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پس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دلیل اول 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چندان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تام نیست. دلیل دوم این است که ما کار به شمول روایت نداریم، بلکه اگر این روایت هم آن را شامل نشود، می‌توانیم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 القای خصوصیت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کنی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م. ولو لفظاً روایت شامل آن نشود،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ولی همین حکمی که برای حدود الهی 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است و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برای غیر صبی می‌شود تعزیر کرد، القای خصوصیت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66F78" w:rsidRPr="00AB75D5" w:rsidRDefault="00166F78" w:rsidP="003C3C5F">
      <w:pPr>
        <w:pStyle w:val="Heading3"/>
        <w:rPr>
          <w:rFonts w:ascii="IRBadr" w:hAnsi="IRBadr" w:cs="IRBadr"/>
          <w:rtl/>
        </w:rPr>
      </w:pPr>
      <w:bookmarkStart w:id="20" w:name="_Toc427625924"/>
      <w:r w:rsidRPr="00AB75D5">
        <w:rPr>
          <w:rFonts w:ascii="IRBadr" w:hAnsi="IRBadr" w:cs="IRBadr"/>
          <w:rtl/>
        </w:rPr>
        <w:t>اتخاذ مبنا</w:t>
      </w:r>
      <w:bookmarkEnd w:id="20"/>
    </w:p>
    <w:p w:rsidR="00166F78" w:rsidRPr="00AB75D5" w:rsidRDefault="00166F78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اما در حقیقت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این القای خصوصیت هم وجهی ندارد. برای اینکه شاید حدود مقرره، مثل زنا به دلیل اینکه بسیار مهم بوده‌اند، شارع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حد معینی برای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>قرار داده است و به دلیل اهمیتش هم شارع می‌گوید حتی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صبی هم انجام بدهد، تعزیر دارد.</w:t>
      </w:r>
    </w:p>
    <w:p w:rsidR="00166F78" w:rsidRPr="00AB75D5" w:rsidRDefault="00166F78" w:rsidP="003C3C5F">
      <w:pPr>
        <w:pStyle w:val="Heading3"/>
        <w:rPr>
          <w:rFonts w:ascii="IRBadr" w:hAnsi="IRBadr" w:cs="IRBadr"/>
          <w:rtl/>
        </w:rPr>
      </w:pPr>
      <w:bookmarkStart w:id="21" w:name="_Toc427625925"/>
      <w:r w:rsidRPr="00AB75D5">
        <w:rPr>
          <w:rFonts w:ascii="IRBadr" w:hAnsi="IRBadr" w:cs="IRBadr"/>
          <w:rtl/>
        </w:rPr>
        <w:t>دلیل سوم</w:t>
      </w:r>
      <w:bookmarkEnd w:id="21"/>
    </w:p>
    <w:p w:rsidR="00C43D1F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>دلیل سوم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>ی که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ممکن است بگوییم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66F78" w:rsidRPr="00AB75D5">
        <w:rPr>
          <w:rFonts w:ascii="IRBadr" w:hAnsi="IRBadr" w:cs="IRBadr"/>
          <w:sz w:val="28"/>
          <w:szCs w:val="28"/>
          <w:rtl/>
          <w:lang w:bidi="fa-IR"/>
        </w:rPr>
        <w:t xml:space="preserve">این است که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روایات می‌گوید</w:t>
      </w:r>
      <w:r w:rsidR="00C43D1F" w:rsidRPr="00AB75D5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C43D1F" w:rsidRPr="00AB75D5" w:rsidRDefault="00C43D1F" w:rsidP="003C3C5F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«لِأَنَّ اللَّهَ عَزَّ وَ جَلَّ قَدْ جَعَلَ لِ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لِّ شَ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‌ءٍ حَدّاً وَ جَعَلَ لِمَنْ تَعَدَّ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ذَلِ</w:t>
      </w:r>
      <w:r w:rsidR="005A03C6"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AB75D5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الْحَدَّ حَدّاً.»</w:t>
      </w:r>
      <w:r w:rsidRPr="00AB75D5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7"/>
      </w:r>
    </w:p>
    <w:p w:rsidR="00166F78" w:rsidRPr="00AB75D5" w:rsidRDefault="00166F78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لذا 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صبی را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هم در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آن‌هم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جوابش این است که 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>تعدی در این روایت</w:t>
      </w:r>
      <w:r w:rsidR="00473B33" w:rsidRPr="00AB75D5">
        <w:rPr>
          <w:rFonts w:ascii="IRBadr" w:hAnsi="IRBadr" w:cs="IRBadr"/>
          <w:sz w:val="28"/>
          <w:szCs w:val="28"/>
          <w:rtl/>
          <w:lang w:bidi="fa-IR"/>
        </w:rPr>
        <w:t xml:space="preserve"> تعدی با تکلیف دارد.</w:t>
      </w:r>
    </w:p>
    <w:p w:rsidR="00166F78" w:rsidRPr="00AB75D5" w:rsidRDefault="00166F78" w:rsidP="003C3C5F">
      <w:pPr>
        <w:pStyle w:val="Heading3"/>
        <w:rPr>
          <w:rFonts w:ascii="IRBadr" w:hAnsi="IRBadr" w:cs="IRBadr"/>
          <w:rtl/>
        </w:rPr>
      </w:pPr>
      <w:bookmarkStart w:id="22" w:name="_Toc427625926"/>
      <w:r w:rsidRPr="00AB75D5">
        <w:rPr>
          <w:rFonts w:ascii="IRBadr" w:hAnsi="IRBadr" w:cs="IRBadr"/>
          <w:rtl/>
        </w:rPr>
        <w:t>دلیل چهارم</w:t>
      </w:r>
      <w:bookmarkEnd w:id="22"/>
    </w:p>
    <w:p w:rsidR="00360641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دلیل چهارمی که می‌شود ذکر کرد </w:t>
      </w:r>
      <w:r w:rsidR="00360641" w:rsidRPr="00AB75D5">
        <w:rPr>
          <w:rFonts w:ascii="IRBadr" w:hAnsi="IRBadr" w:cs="IRBadr"/>
          <w:sz w:val="28"/>
          <w:szCs w:val="28"/>
          <w:rtl/>
          <w:lang w:bidi="fa-IR"/>
        </w:rPr>
        <w:t>مربوط به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حفظ نظام است.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که حفظ نظام اجتماعی متوقف بر این است که صبی در آن نظامات اجتماعی چه گناهان اولیه باشد، </w:t>
      </w:r>
      <w:r w:rsidR="00360641" w:rsidRPr="00AB75D5">
        <w:rPr>
          <w:rFonts w:ascii="IRBadr" w:hAnsi="IRBadr" w:cs="IRBadr"/>
          <w:sz w:val="28"/>
          <w:szCs w:val="28"/>
          <w:rtl/>
          <w:lang w:bidi="fa-IR"/>
        </w:rPr>
        <w:t>یا قوانین جعلیه حکومتی باشد،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 xml:space="preserve"> مورد</w:t>
      </w:r>
      <w:r w:rsidR="00360641" w:rsidRPr="00AB75D5">
        <w:rPr>
          <w:rFonts w:ascii="IRBadr" w:hAnsi="IRBadr" w:cs="IRBadr"/>
          <w:sz w:val="28"/>
          <w:szCs w:val="28"/>
          <w:rtl/>
          <w:lang w:bidi="fa-IR"/>
        </w:rPr>
        <w:t xml:space="preserve"> تعزیر قرار گیرد، باید تعزیر بر او جاری شود.</w:t>
      </w:r>
    </w:p>
    <w:p w:rsidR="00360641" w:rsidRPr="00AB75D5" w:rsidRDefault="00360641" w:rsidP="003C3C5F">
      <w:pPr>
        <w:pStyle w:val="Heading3"/>
        <w:rPr>
          <w:rFonts w:ascii="IRBadr" w:hAnsi="IRBadr" w:cs="IRBadr"/>
          <w:rtl/>
        </w:rPr>
      </w:pPr>
      <w:bookmarkStart w:id="23" w:name="_Toc427625927"/>
      <w:r w:rsidRPr="00AB75D5">
        <w:rPr>
          <w:rFonts w:ascii="IRBadr" w:hAnsi="IRBadr" w:cs="IRBadr"/>
          <w:rtl/>
        </w:rPr>
        <w:lastRenderedPageBreak/>
        <w:t>اتخاذ مبنا</w:t>
      </w:r>
      <w:bookmarkEnd w:id="23"/>
    </w:p>
    <w:p w:rsidR="00360641" w:rsidRPr="00AB75D5" w:rsidRDefault="00360641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بعید نیست که نظریه فوق </w:t>
      </w:r>
      <w:r w:rsidR="005A03C6" w:rsidRPr="00AB75D5">
        <w:rPr>
          <w:rFonts w:ascii="IRBadr" w:hAnsi="IRBadr" w:cs="IRBadr"/>
          <w:sz w:val="28"/>
          <w:szCs w:val="28"/>
          <w:rtl/>
          <w:lang w:bidi="fa-IR"/>
        </w:rPr>
        <w:t>نظریه‌ای</w:t>
      </w: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صحیح باشد.</w:t>
      </w:r>
    </w:p>
    <w:p w:rsidR="00473B33" w:rsidRPr="00AB75D5" w:rsidRDefault="00473B33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B75D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152670" w:rsidRPr="00AB75D5" w:rsidRDefault="00152670" w:rsidP="003C3C5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AB75D5" w:rsidSect="000D58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F6" w:rsidRDefault="009265F6" w:rsidP="000D5800">
      <w:pPr>
        <w:spacing w:after="0" w:line="240" w:lineRule="auto"/>
      </w:pPr>
      <w:r>
        <w:separator/>
      </w:r>
    </w:p>
  </w:endnote>
  <w:endnote w:type="continuationSeparator" w:id="0">
    <w:p w:rsidR="009265F6" w:rsidRDefault="009265F6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7C" w:rsidRDefault="00625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45583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77C" w:rsidRDefault="006257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5F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62577C" w:rsidRDefault="006257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7C" w:rsidRDefault="00625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F6" w:rsidRDefault="009265F6" w:rsidP="0062577C">
      <w:pPr>
        <w:bidi/>
        <w:spacing w:after="0" w:line="240" w:lineRule="auto"/>
      </w:pPr>
      <w:r>
        <w:separator/>
      </w:r>
    </w:p>
  </w:footnote>
  <w:footnote w:type="continuationSeparator" w:id="0">
    <w:p w:rsidR="009265F6" w:rsidRDefault="009265F6" w:rsidP="000D5800">
      <w:pPr>
        <w:spacing w:after="0" w:line="240" w:lineRule="auto"/>
      </w:pPr>
      <w:r>
        <w:continuationSeparator/>
      </w:r>
    </w:p>
  </w:footnote>
  <w:footnote w:id="1">
    <w:p w:rsidR="00FC62A4" w:rsidRDefault="00FC62A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C62A4">
        <w:rPr>
          <w:rFonts w:ascii="Noor_Titr" w:hAnsi="Noor_Titr" w:cs="B Badr" w:hint="cs"/>
          <w:color w:val="000000" w:themeColor="text1"/>
          <w:rtl/>
        </w:rPr>
        <w:t>ال</w:t>
      </w:r>
      <w:r w:rsidR="005A03C6">
        <w:rPr>
          <w:rFonts w:ascii="Noor_Titr" w:hAnsi="Noor_Titr" w:cs="B Badr" w:hint="cs"/>
          <w:color w:val="000000" w:themeColor="text1"/>
          <w:rtl/>
        </w:rPr>
        <w:t>ک</w:t>
      </w:r>
      <w:r w:rsidRPr="00FC62A4">
        <w:rPr>
          <w:rFonts w:ascii="Noor_Titr" w:hAnsi="Noor_Titr" w:cs="B Badr" w:hint="cs"/>
          <w:color w:val="000000" w:themeColor="text1"/>
          <w:rtl/>
        </w:rPr>
        <w:t>اف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 (ط - دار الحد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ث)؛ </w:t>
      </w:r>
      <w:r w:rsidR="005A03C6">
        <w:rPr>
          <w:rFonts w:ascii="Noor_Titr" w:hAnsi="Noor_Titr" w:cs="B Badr"/>
          <w:color w:val="000000" w:themeColor="text1"/>
          <w:rtl/>
        </w:rPr>
        <w:t>ج 14</w:t>
      </w:r>
      <w:r w:rsidRPr="00FC62A4">
        <w:rPr>
          <w:rFonts w:ascii="Noor_Titr" w:hAnsi="Noor_Titr" w:cs="B Badr" w:hint="cs"/>
          <w:color w:val="000000" w:themeColor="text1"/>
          <w:rtl/>
        </w:rPr>
        <w:t>، ص: 15</w:t>
      </w:r>
    </w:p>
  </w:footnote>
  <w:footnote w:id="2">
    <w:p w:rsidR="00FC62A4" w:rsidRDefault="00FC62A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C62A4">
        <w:rPr>
          <w:rFonts w:ascii="Noor_Titr" w:hAnsi="Noor_Titr" w:cs="B Badr" w:hint="cs"/>
          <w:color w:val="000000" w:themeColor="text1"/>
          <w:rtl/>
        </w:rPr>
        <w:t>ال</w:t>
      </w:r>
      <w:r w:rsidR="005A03C6">
        <w:rPr>
          <w:rFonts w:ascii="Noor_Titr" w:hAnsi="Noor_Titr" w:cs="B Badr" w:hint="cs"/>
          <w:color w:val="000000" w:themeColor="text1"/>
          <w:rtl/>
        </w:rPr>
        <w:t>ک</w:t>
      </w:r>
      <w:r w:rsidRPr="00FC62A4">
        <w:rPr>
          <w:rFonts w:ascii="Noor_Titr" w:hAnsi="Noor_Titr" w:cs="B Badr" w:hint="cs"/>
          <w:color w:val="000000" w:themeColor="text1"/>
          <w:rtl/>
        </w:rPr>
        <w:t>اف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A03C6">
        <w:rPr>
          <w:rFonts w:ascii="Noor_Titr" w:hAnsi="Noor_Titr" w:cs="B Badr"/>
          <w:color w:val="000000" w:themeColor="text1"/>
          <w:rtl/>
        </w:rPr>
        <w:t>ج 7</w:t>
      </w:r>
      <w:r w:rsidRPr="00FC62A4">
        <w:rPr>
          <w:rFonts w:ascii="Noor_Titr" w:hAnsi="Noor_Titr" w:cs="B Badr" w:hint="cs"/>
          <w:color w:val="000000" w:themeColor="text1"/>
          <w:rtl/>
        </w:rPr>
        <w:t>، ص: 180</w:t>
      </w:r>
    </w:p>
  </w:footnote>
  <w:footnote w:id="3">
    <w:p w:rsidR="00FC62A4" w:rsidRDefault="00FC62A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C62A4">
        <w:rPr>
          <w:rFonts w:ascii="Noor_Titr" w:hAnsi="Noor_Titr" w:cs="B Badr" w:hint="cs"/>
          <w:color w:val="000000" w:themeColor="text1"/>
          <w:rtl/>
        </w:rPr>
        <w:t>تهذ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>ب الأح</w:t>
      </w:r>
      <w:r w:rsidR="005A03C6">
        <w:rPr>
          <w:rFonts w:ascii="Noor_Titr" w:hAnsi="Noor_Titr" w:cs="B Badr" w:hint="cs"/>
          <w:color w:val="000000" w:themeColor="text1"/>
          <w:rtl/>
        </w:rPr>
        <w:t>ک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5A03C6">
        <w:rPr>
          <w:rFonts w:ascii="Noor_Titr" w:hAnsi="Noor_Titr" w:cs="B Badr"/>
          <w:color w:val="000000" w:themeColor="text1"/>
          <w:rtl/>
        </w:rPr>
        <w:t>ج 10</w:t>
      </w:r>
      <w:r w:rsidRPr="00FC62A4">
        <w:rPr>
          <w:rFonts w:ascii="Noor_Titr" w:hAnsi="Noor_Titr" w:cs="B Badr" w:hint="cs"/>
          <w:color w:val="000000" w:themeColor="text1"/>
          <w:rtl/>
        </w:rPr>
        <w:t>، ص: 17</w:t>
      </w:r>
    </w:p>
  </w:footnote>
  <w:footnote w:id="4">
    <w:p w:rsidR="00FC62A4" w:rsidRDefault="00FC62A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C62A4">
        <w:rPr>
          <w:rFonts w:ascii="Noor_Titr" w:hAnsi="Noor_Titr" w:cs="B Badr" w:hint="cs"/>
          <w:color w:val="000000" w:themeColor="text1"/>
          <w:rtl/>
        </w:rPr>
        <w:t>وسائل الش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5A03C6">
        <w:rPr>
          <w:rFonts w:ascii="Noor_Titr" w:hAnsi="Noor_Titr" w:cs="B Badr"/>
          <w:color w:val="000000" w:themeColor="text1"/>
          <w:rtl/>
        </w:rPr>
        <w:t>ج 28</w:t>
      </w:r>
      <w:r w:rsidRPr="00FC62A4">
        <w:rPr>
          <w:rFonts w:ascii="Noor_Titr" w:hAnsi="Noor_Titr" w:cs="B Badr" w:hint="cs"/>
          <w:color w:val="000000" w:themeColor="text1"/>
          <w:rtl/>
        </w:rPr>
        <w:t>، ص: 83</w:t>
      </w:r>
    </w:p>
  </w:footnote>
  <w:footnote w:id="5">
    <w:p w:rsidR="00FC62A4" w:rsidRDefault="00FC62A4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C62A4">
        <w:rPr>
          <w:rFonts w:ascii="Noor_Titr" w:hAnsi="Noor_Titr" w:cs="B Badr" w:hint="cs"/>
          <w:color w:val="000000" w:themeColor="text1"/>
          <w:rtl/>
        </w:rPr>
        <w:t>ال</w:t>
      </w:r>
      <w:r w:rsidR="005A03C6">
        <w:rPr>
          <w:rFonts w:ascii="Noor_Titr" w:hAnsi="Noor_Titr" w:cs="B Badr" w:hint="cs"/>
          <w:color w:val="000000" w:themeColor="text1"/>
          <w:rtl/>
        </w:rPr>
        <w:t>ک</w:t>
      </w:r>
      <w:r w:rsidRPr="00FC62A4">
        <w:rPr>
          <w:rFonts w:ascii="Noor_Titr" w:hAnsi="Noor_Titr" w:cs="B Badr" w:hint="cs"/>
          <w:color w:val="000000" w:themeColor="text1"/>
          <w:rtl/>
        </w:rPr>
        <w:t>اف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FC62A4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A03C6">
        <w:rPr>
          <w:rFonts w:ascii="Noor_Titr" w:hAnsi="Noor_Titr" w:cs="B Badr"/>
          <w:color w:val="000000" w:themeColor="text1"/>
          <w:rtl/>
        </w:rPr>
        <w:t>ج 7</w:t>
      </w:r>
      <w:r w:rsidRPr="00FC62A4">
        <w:rPr>
          <w:rFonts w:ascii="Noor_Titr" w:hAnsi="Noor_Titr" w:cs="B Badr" w:hint="cs"/>
          <w:color w:val="000000" w:themeColor="text1"/>
          <w:rtl/>
        </w:rPr>
        <w:t>، ص: 199</w:t>
      </w:r>
    </w:p>
  </w:footnote>
  <w:footnote w:id="6">
    <w:p w:rsidR="00C43D1F" w:rsidRDefault="00C43D1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43D1F">
        <w:rPr>
          <w:rFonts w:ascii="Noor_Titr" w:hAnsi="Noor_Titr" w:cs="B Badr" w:hint="cs"/>
          <w:color w:val="000000" w:themeColor="text1"/>
          <w:rtl/>
        </w:rPr>
        <w:t>ال</w:t>
      </w:r>
      <w:r w:rsidR="005A03C6">
        <w:rPr>
          <w:rFonts w:ascii="Noor_Titr" w:hAnsi="Noor_Titr" w:cs="B Badr" w:hint="cs"/>
          <w:color w:val="000000" w:themeColor="text1"/>
          <w:rtl/>
        </w:rPr>
        <w:t>ک</w:t>
      </w:r>
      <w:r w:rsidRPr="00C43D1F">
        <w:rPr>
          <w:rFonts w:ascii="Noor_Titr" w:hAnsi="Noor_Titr" w:cs="B Badr" w:hint="cs"/>
          <w:color w:val="000000" w:themeColor="text1"/>
          <w:rtl/>
        </w:rPr>
        <w:t>اف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C43D1F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C43D1F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A03C6">
        <w:rPr>
          <w:rFonts w:ascii="Noor_Titr" w:hAnsi="Noor_Titr" w:cs="B Badr"/>
          <w:color w:val="000000" w:themeColor="text1"/>
          <w:rtl/>
        </w:rPr>
        <w:t>ج 7</w:t>
      </w:r>
      <w:r w:rsidRPr="00C43D1F">
        <w:rPr>
          <w:rFonts w:ascii="Noor_Titr" w:hAnsi="Noor_Titr" w:cs="B Badr" w:hint="cs"/>
          <w:color w:val="000000" w:themeColor="text1"/>
          <w:rtl/>
        </w:rPr>
        <w:t>، ص: 176</w:t>
      </w:r>
    </w:p>
  </w:footnote>
  <w:footnote w:id="7">
    <w:p w:rsidR="00C43D1F" w:rsidRDefault="00C43D1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43D1F">
        <w:rPr>
          <w:rFonts w:ascii="Noor_Titr" w:hAnsi="Noor_Titr" w:cs="B Badr" w:hint="cs"/>
          <w:color w:val="000000" w:themeColor="text1"/>
          <w:rtl/>
        </w:rPr>
        <w:t>ال</w:t>
      </w:r>
      <w:r w:rsidR="005A03C6">
        <w:rPr>
          <w:rFonts w:ascii="Noor_Titr" w:hAnsi="Noor_Titr" w:cs="B Badr" w:hint="cs"/>
          <w:color w:val="000000" w:themeColor="text1"/>
          <w:rtl/>
        </w:rPr>
        <w:t>ک</w:t>
      </w:r>
      <w:r w:rsidRPr="00C43D1F">
        <w:rPr>
          <w:rFonts w:ascii="Noor_Titr" w:hAnsi="Noor_Titr" w:cs="B Badr" w:hint="cs"/>
          <w:color w:val="000000" w:themeColor="text1"/>
          <w:rtl/>
        </w:rPr>
        <w:t>اف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C43D1F"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5A03C6">
        <w:rPr>
          <w:rFonts w:ascii="Noor_Titr" w:hAnsi="Noor_Titr" w:cs="B Badr" w:hint="cs"/>
          <w:color w:val="000000" w:themeColor="text1"/>
          <w:rtl/>
        </w:rPr>
        <w:t>ی</w:t>
      </w:r>
      <w:r w:rsidRPr="00C43D1F"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5A03C6">
        <w:rPr>
          <w:rFonts w:ascii="Noor_Titr" w:hAnsi="Noor_Titr" w:cs="B Badr"/>
          <w:color w:val="000000" w:themeColor="text1"/>
          <w:rtl/>
        </w:rPr>
        <w:t>ج 7</w:t>
      </w:r>
      <w:r w:rsidRPr="00C43D1F">
        <w:rPr>
          <w:rFonts w:ascii="Noor_Titr" w:hAnsi="Noor_Titr" w:cs="B Badr" w:hint="cs"/>
          <w:color w:val="000000" w:themeColor="text1"/>
          <w:rtl/>
        </w:rPr>
        <w:t>، ص: 176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7C" w:rsidRDefault="00625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B33" w:rsidRPr="00D723BF" w:rsidRDefault="000D5800" w:rsidP="00473B33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5290509" wp14:editId="31B2EA6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FF6A28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24" w:name="OLE_LINK1"/>
    <w:bookmarkStart w:id="25" w:name="OLE_LINK2"/>
    <w:r>
      <w:rPr>
        <w:noProof/>
        <w:lang w:bidi="fa-IR"/>
      </w:rPr>
      <w:drawing>
        <wp:inline distT="0" distB="0" distL="0" distR="0" wp14:anchorId="37D78434" wp14:editId="61F7925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4"/>
    <w:bookmarkEnd w:id="25"/>
    <w:r w:rsidR="00B11271">
      <w:rPr>
        <w:rFonts w:ascii="IranNastaliq" w:hAnsi="IranNastaliq" w:cs="IranNastaliq"/>
        <w:sz w:val="40"/>
        <w:szCs w:val="40"/>
        <w:rtl/>
      </w:rPr>
      <w:t xml:space="preserve"> </w:t>
    </w:r>
    <w:r w:rsidR="00D91675">
      <w:rPr>
        <w:rFonts w:ascii="IranNastaliq" w:hAnsi="IranNastaliq" w:cs="IranNastaliq"/>
        <w:sz w:val="40"/>
        <w:szCs w:val="40"/>
        <w:rtl/>
      </w:rPr>
      <w:t>شماره ثبت</w:t>
    </w:r>
    <w:r w:rsidR="00D91675">
      <w:rPr>
        <w:rFonts w:ascii="IranNastaliq" w:hAnsi="IranNastaliq" w:cs="IranNastaliq" w:hint="cs"/>
        <w:sz w:val="40"/>
        <w:szCs w:val="40"/>
        <w:rtl/>
      </w:rPr>
      <w:t>:</w:t>
    </w:r>
    <w:r w:rsidR="00473B33">
      <w:rPr>
        <w:rFonts w:ascii="IranNastaliq" w:hAnsi="IranNastaliq" w:cs="IranNastaliq" w:hint="cs"/>
        <w:sz w:val="40"/>
        <w:szCs w:val="40"/>
        <w:rtl/>
        <w:lang w:bidi="fa-IR"/>
      </w:rPr>
      <w:t>840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77C" w:rsidRDefault="00625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25"/>
    <w:rsid w:val="00011167"/>
    <w:rsid w:val="000148C4"/>
    <w:rsid w:val="000228A2"/>
    <w:rsid w:val="000324F1"/>
    <w:rsid w:val="00041FE0"/>
    <w:rsid w:val="00044097"/>
    <w:rsid w:val="00051A63"/>
    <w:rsid w:val="00052BA3"/>
    <w:rsid w:val="0006363E"/>
    <w:rsid w:val="00080DFF"/>
    <w:rsid w:val="000825BD"/>
    <w:rsid w:val="00085ED5"/>
    <w:rsid w:val="000A1A51"/>
    <w:rsid w:val="000C2C26"/>
    <w:rsid w:val="000C74B2"/>
    <w:rsid w:val="000C7C2A"/>
    <w:rsid w:val="000D2D0D"/>
    <w:rsid w:val="000D5800"/>
    <w:rsid w:val="000F02FB"/>
    <w:rsid w:val="000F1897"/>
    <w:rsid w:val="000F7E72"/>
    <w:rsid w:val="00100C64"/>
    <w:rsid w:val="00101E2D"/>
    <w:rsid w:val="00102CEB"/>
    <w:rsid w:val="00117955"/>
    <w:rsid w:val="00125087"/>
    <w:rsid w:val="0012603F"/>
    <w:rsid w:val="00133E1D"/>
    <w:rsid w:val="0013617D"/>
    <w:rsid w:val="00136442"/>
    <w:rsid w:val="00150D4B"/>
    <w:rsid w:val="00152670"/>
    <w:rsid w:val="00166DD8"/>
    <w:rsid w:val="00166F78"/>
    <w:rsid w:val="001712D6"/>
    <w:rsid w:val="0017248C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6B6"/>
    <w:rsid w:val="001E4FFF"/>
    <w:rsid w:val="001F2E3E"/>
    <w:rsid w:val="001F7D0D"/>
    <w:rsid w:val="00224C0A"/>
    <w:rsid w:val="00226106"/>
    <w:rsid w:val="002376A5"/>
    <w:rsid w:val="002417C9"/>
    <w:rsid w:val="002529C5"/>
    <w:rsid w:val="00270294"/>
    <w:rsid w:val="00270BFA"/>
    <w:rsid w:val="0028497A"/>
    <w:rsid w:val="002914BD"/>
    <w:rsid w:val="00297263"/>
    <w:rsid w:val="002A3A69"/>
    <w:rsid w:val="002C56FD"/>
    <w:rsid w:val="002D49E4"/>
    <w:rsid w:val="002E450B"/>
    <w:rsid w:val="002E73F9"/>
    <w:rsid w:val="002F05B9"/>
    <w:rsid w:val="002F15AC"/>
    <w:rsid w:val="0030533B"/>
    <w:rsid w:val="0033569B"/>
    <w:rsid w:val="00340BA3"/>
    <w:rsid w:val="0034165B"/>
    <w:rsid w:val="00355F35"/>
    <w:rsid w:val="00360641"/>
    <w:rsid w:val="00361E5A"/>
    <w:rsid w:val="00366400"/>
    <w:rsid w:val="003840A1"/>
    <w:rsid w:val="003963D7"/>
    <w:rsid w:val="00396F28"/>
    <w:rsid w:val="003A1A05"/>
    <w:rsid w:val="003A2654"/>
    <w:rsid w:val="003C06BF"/>
    <w:rsid w:val="003C3C5F"/>
    <w:rsid w:val="003C7899"/>
    <w:rsid w:val="003D2F0A"/>
    <w:rsid w:val="003D563F"/>
    <w:rsid w:val="003E1E58"/>
    <w:rsid w:val="003F57A0"/>
    <w:rsid w:val="00405199"/>
    <w:rsid w:val="00410699"/>
    <w:rsid w:val="00415360"/>
    <w:rsid w:val="0044591E"/>
    <w:rsid w:val="00445BEB"/>
    <w:rsid w:val="00455CBC"/>
    <w:rsid w:val="004651D2"/>
    <w:rsid w:val="00465D26"/>
    <w:rsid w:val="004679F8"/>
    <w:rsid w:val="00473B33"/>
    <w:rsid w:val="004B337F"/>
    <w:rsid w:val="004B734C"/>
    <w:rsid w:val="004C061C"/>
    <w:rsid w:val="004F3596"/>
    <w:rsid w:val="00515883"/>
    <w:rsid w:val="005505FD"/>
    <w:rsid w:val="00554A97"/>
    <w:rsid w:val="00572E2D"/>
    <w:rsid w:val="00574D76"/>
    <w:rsid w:val="00592103"/>
    <w:rsid w:val="005941DD"/>
    <w:rsid w:val="00596E75"/>
    <w:rsid w:val="005A03C6"/>
    <w:rsid w:val="005A545E"/>
    <w:rsid w:val="005A5862"/>
    <w:rsid w:val="005B0852"/>
    <w:rsid w:val="005B45BC"/>
    <w:rsid w:val="005C06AE"/>
    <w:rsid w:val="005C1BC1"/>
    <w:rsid w:val="005C392B"/>
    <w:rsid w:val="005E00C3"/>
    <w:rsid w:val="005F4823"/>
    <w:rsid w:val="00610C18"/>
    <w:rsid w:val="00612385"/>
    <w:rsid w:val="0061376C"/>
    <w:rsid w:val="0062577C"/>
    <w:rsid w:val="00636EFA"/>
    <w:rsid w:val="0066229C"/>
    <w:rsid w:val="0069696C"/>
    <w:rsid w:val="006A085A"/>
    <w:rsid w:val="006A7196"/>
    <w:rsid w:val="006D3A87"/>
    <w:rsid w:val="006F01B4"/>
    <w:rsid w:val="007020CE"/>
    <w:rsid w:val="00723CD3"/>
    <w:rsid w:val="00734D59"/>
    <w:rsid w:val="0073609B"/>
    <w:rsid w:val="00740434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F70"/>
    <w:rsid w:val="007B6FEB"/>
    <w:rsid w:val="007B755E"/>
    <w:rsid w:val="007C1EF7"/>
    <w:rsid w:val="007C710E"/>
    <w:rsid w:val="007D0B88"/>
    <w:rsid w:val="007D1549"/>
    <w:rsid w:val="007E03E9"/>
    <w:rsid w:val="007E04EE"/>
    <w:rsid w:val="007E3512"/>
    <w:rsid w:val="007E48FF"/>
    <w:rsid w:val="007E7FA7"/>
    <w:rsid w:val="007F0721"/>
    <w:rsid w:val="007F4A90"/>
    <w:rsid w:val="00803501"/>
    <w:rsid w:val="0080799B"/>
    <w:rsid w:val="00807BE3"/>
    <w:rsid w:val="00811F02"/>
    <w:rsid w:val="0081768F"/>
    <w:rsid w:val="008229DA"/>
    <w:rsid w:val="00825EFA"/>
    <w:rsid w:val="008407A4"/>
    <w:rsid w:val="00844860"/>
    <w:rsid w:val="00845CC4"/>
    <w:rsid w:val="008644F4"/>
    <w:rsid w:val="00872F6A"/>
    <w:rsid w:val="00883725"/>
    <w:rsid w:val="00883733"/>
    <w:rsid w:val="008965D2"/>
    <w:rsid w:val="008A236D"/>
    <w:rsid w:val="008B2A49"/>
    <w:rsid w:val="008B565A"/>
    <w:rsid w:val="008C1B2A"/>
    <w:rsid w:val="008C3414"/>
    <w:rsid w:val="008D36D5"/>
    <w:rsid w:val="008E3903"/>
    <w:rsid w:val="008F63E3"/>
    <w:rsid w:val="008F6BF5"/>
    <w:rsid w:val="00901C3D"/>
    <w:rsid w:val="00913C3B"/>
    <w:rsid w:val="00915509"/>
    <w:rsid w:val="00925897"/>
    <w:rsid w:val="009265F6"/>
    <w:rsid w:val="00927388"/>
    <w:rsid w:val="009274FE"/>
    <w:rsid w:val="009401AC"/>
    <w:rsid w:val="009613AC"/>
    <w:rsid w:val="00980643"/>
    <w:rsid w:val="00985E90"/>
    <w:rsid w:val="00987F25"/>
    <w:rsid w:val="009B46BC"/>
    <w:rsid w:val="009B61C3"/>
    <w:rsid w:val="009C2149"/>
    <w:rsid w:val="009C7B4F"/>
    <w:rsid w:val="009E3C17"/>
    <w:rsid w:val="009E4E45"/>
    <w:rsid w:val="009F4EB3"/>
    <w:rsid w:val="009F739F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56B1"/>
    <w:rsid w:val="00AB75D5"/>
    <w:rsid w:val="00AD0304"/>
    <w:rsid w:val="00AD27BE"/>
    <w:rsid w:val="00AF0F1A"/>
    <w:rsid w:val="00AF14DC"/>
    <w:rsid w:val="00B11271"/>
    <w:rsid w:val="00B15027"/>
    <w:rsid w:val="00B21CF4"/>
    <w:rsid w:val="00B24300"/>
    <w:rsid w:val="00B63F15"/>
    <w:rsid w:val="00B84BE5"/>
    <w:rsid w:val="00BB5F7E"/>
    <w:rsid w:val="00BB6399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731F"/>
    <w:rsid w:val="00C43972"/>
    <w:rsid w:val="00C43D1F"/>
    <w:rsid w:val="00C46244"/>
    <w:rsid w:val="00C60D75"/>
    <w:rsid w:val="00C64CEA"/>
    <w:rsid w:val="00C73012"/>
    <w:rsid w:val="00C763DD"/>
    <w:rsid w:val="00C84FC0"/>
    <w:rsid w:val="00C9244A"/>
    <w:rsid w:val="00CA6877"/>
    <w:rsid w:val="00CB5DA3"/>
    <w:rsid w:val="00CE0815"/>
    <w:rsid w:val="00CE1E8D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66699"/>
    <w:rsid w:val="00D723BF"/>
    <w:rsid w:val="00D76353"/>
    <w:rsid w:val="00D91675"/>
    <w:rsid w:val="00D95014"/>
    <w:rsid w:val="00DA2F49"/>
    <w:rsid w:val="00DA3BE7"/>
    <w:rsid w:val="00DB28BB"/>
    <w:rsid w:val="00DC603F"/>
    <w:rsid w:val="00DC73DC"/>
    <w:rsid w:val="00DD3C0D"/>
    <w:rsid w:val="00DD4864"/>
    <w:rsid w:val="00DD71A2"/>
    <w:rsid w:val="00DE1DC4"/>
    <w:rsid w:val="00DF61AA"/>
    <w:rsid w:val="00E00A54"/>
    <w:rsid w:val="00E0639C"/>
    <w:rsid w:val="00E067E6"/>
    <w:rsid w:val="00E12531"/>
    <w:rsid w:val="00E143B0"/>
    <w:rsid w:val="00E47549"/>
    <w:rsid w:val="00E55891"/>
    <w:rsid w:val="00E605D9"/>
    <w:rsid w:val="00E6283A"/>
    <w:rsid w:val="00E732A3"/>
    <w:rsid w:val="00E83A85"/>
    <w:rsid w:val="00E90FC4"/>
    <w:rsid w:val="00EA01EC"/>
    <w:rsid w:val="00EA15B0"/>
    <w:rsid w:val="00EA42F5"/>
    <w:rsid w:val="00EA5D97"/>
    <w:rsid w:val="00EC4393"/>
    <w:rsid w:val="00EE1C07"/>
    <w:rsid w:val="00EE2C91"/>
    <w:rsid w:val="00EE3979"/>
    <w:rsid w:val="00EF138C"/>
    <w:rsid w:val="00F034CE"/>
    <w:rsid w:val="00F10A0F"/>
    <w:rsid w:val="00F13066"/>
    <w:rsid w:val="00F247BD"/>
    <w:rsid w:val="00F40284"/>
    <w:rsid w:val="00F40EE2"/>
    <w:rsid w:val="00F67976"/>
    <w:rsid w:val="00F70BE1"/>
    <w:rsid w:val="00F837FF"/>
    <w:rsid w:val="00FA5AE2"/>
    <w:rsid w:val="00FB7431"/>
    <w:rsid w:val="00FC0862"/>
    <w:rsid w:val="00FC20D5"/>
    <w:rsid w:val="00FC62A4"/>
    <w:rsid w:val="00FC70FB"/>
    <w:rsid w:val="00FD143D"/>
    <w:rsid w:val="00FD64E5"/>
    <w:rsid w:val="00FD70AF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5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87F2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C2C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5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D7F-6695-485C-8CBD-E73B421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1259</TotalTime>
  <Pages>8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91</cp:revision>
  <dcterms:created xsi:type="dcterms:W3CDTF">2014-12-22T04:07:00Z</dcterms:created>
  <dcterms:modified xsi:type="dcterms:W3CDTF">2015-08-08T05:25:00Z</dcterms:modified>
</cp:coreProperties>
</file>