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A" w:rsidRPr="002D3AF7" w:rsidRDefault="00E35324" w:rsidP="009736C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9863DA"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9863DA"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3D17C3" w:rsidRPr="002D3AF7" w:rsidRDefault="003D17C3" w:rsidP="009736C2">
      <w:pPr>
        <w:bidi/>
        <w:jc w:val="both"/>
        <w:rPr>
          <w:rFonts w:ascii="IRBadr" w:hAnsi="IRBadr" w:cs="IRBadr"/>
          <w:noProof/>
        </w:rPr>
      </w:pP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2D3AF7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2D3AF7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2D3AF7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3D17C3" w:rsidRPr="002D3AF7" w:rsidRDefault="00F232CB" w:rsidP="009736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0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تعزیر صبی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_Toc427626340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2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1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_Toc427626341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2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2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وسعت معنایی تأدیب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_Toc427626342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2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3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تأدیب تربیتی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_Toc427626343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2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4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تنبیه آموزشی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_Toc427626344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3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5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اقسام تنبیه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_Toc427626345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3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6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جواز ضرب صبی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_Toc427626346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3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7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حق والدین در تنبیه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_Toc427626347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3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8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دو قید دخیل در حکم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_Toc427626348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4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49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جمع‌بندی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_Toc427626349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4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50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تنقیح مناط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_Toc427626350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5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F232CB" w:rsidP="009736C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6351" w:history="1">
        <w:r w:rsidR="003D17C3" w:rsidRPr="002D3AF7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3D17C3" w:rsidRPr="002D3AF7">
          <w:rPr>
            <w:rFonts w:ascii="IRBadr" w:hAnsi="IRBadr" w:cs="IRBadr"/>
            <w:noProof/>
            <w:webHidden/>
          </w:rPr>
          <w:tab/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D17C3" w:rsidRPr="002D3AF7">
          <w:rPr>
            <w:rFonts w:ascii="IRBadr" w:hAnsi="IRBadr" w:cs="IRBadr"/>
            <w:noProof/>
            <w:webHidden/>
          </w:rPr>
          <w:instrText xml:space="preserve"> PAGEREF _Toc427626351 \h </w:instrText>
        </w:r>
        <w:r w:rsidR="003D17C3" w:rsidRPr="002D3AF7">
          <w:rPr>
            <w:rStyle w:val="Hyperlink"/>
            <w:rFonts w:ascii="IRBadr" w:hAnsi="IRBadr" w:cs="IRBadr"/>
            <w:noProof/>
            <w:rtl/>
          </w:rPr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D17C3" w:rsidRPr="002D3AF7">
          <w:rPr>
            <w:rFonts w:ascii="IRBadr" w:hAnsi="IRBadr" w:cs="IRBadr"/>
            <w:noProof/>
            <w:webHidden/>
          </w:rPr>
          <w:t>5</w:t>
        </w:r>
        <w:r w:rsidR="003D17C3" w:rsidRPr="002D3AF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D17C3" w:rsidRPr="002D3AF7" w:rsidRDefault="003D17C3" w:rsidP="009736C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3D17C3" w:rsidRPr="002D3AF7" w:rsidRDefault="003D17C3" w:rsidP="009736C2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</w:p>
    <w:p w:rsidR="002D3AF7" w:rsidRDefault="002D3AF7" w:rsidP="009736C2">
      <w:pPr>
        <w:spacing w:after="0" w:line="240" w:lineRule="auto"/>
        <w:jc w:val="both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626340"/>
      <w:r>
        <w:rPr>
          <w:rFonts w:ascii="IRBadr" w:hAnsi="IRBadr" w:cs="IRBadr"/>
          <w:rtl/>
        </w:rPr>
        <w:br w:type="page"/>
      </w:r>
    </w:p>
    <w:p w:rsidR="00750094" w:rsidRPr="002D3AF7" w:rsidRDefault="0076699A" w:rsidP="009736C2">
      <w:pPr>
        <w:pStyle w:val="Heading1"/>
        <w:rPr>
          <w:rFonts w:ascii="IRBadr" w:hAnsi="IRBadr" w:cs="IRBadr"/>
          <w:rtl/>
        </w:rPr>
      </w:pPr>
      <w:r w:rsidRPr="002D3AF7">
        <w:rPr>
          <w:rFonts w:ascii="IRBadr" w:hAnsi="IRBadr" w:cs="IRBadr"/>
          <w:rtl/>
        </w:rPr>
        <w:lastRenderedPageBreak/>
        <w:t>تعزیر صبی</w:t>
      </w:r>
      <w:bookmarkEnd w:id="1"/>
    </w:p>
    <w:p w:rsidR="0076699A" w:rsidRPr="002D3AF7" w:rsidRDefault="0076699A" w:rsidP="009736C2">
      <w:pPr>
        <w:pStyle w:val="Heading1"/>
        <w:rPr>
          <w:rFonts w:ascii="IRBadr" w:hAnsi="IRBadr" w:cs="IRBadr"/>
          <w:rtl/>
        </w:rPr>
      </w:pPr>
      <w:bookmarkStart w:id="2" w:name="_Toc427626341"/>
      <w:r w:rsidRPr="002D3AF7">
        <w:rPr>
          <w:rFonts w:ascii="IRBadr" w:hAnsi="IRBadr" w:cs="IRBadr"/>
          <w:rtl/>
        </w:rPr>
        <w:t>مرور بحث پیشین</w:t>
      </w:r>
      <w:bookmarkEnd w:id="2"/>
    </w:p>
    <w:p w:rsidR="0076699A" w:rsidRPr="002D3AF7" w:rsidRDefault="0076699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در بحث سابق مقام در قبال صبی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قرار گرفت، 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>گاهی در مورد معاصی است که دارای حد است، این مقام اول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، گاهی در مورد معاصی است که برای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افراد عادی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تعزیر دارد، این مقام دوم بود. مقام سوم زدن صبی بود برای تربیت او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اخلاقی و اجتماعی و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اینکه در مورد اجتماعی،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اخلاقی و خانوادگی نیاز است که ولی در شرایطی یا معلم و مربی در شرایط دیگری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او را تنبیه کنند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، آیا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تا این حدود </w:t>
      </w:r>
      <w:r w:rsidR="009736C2">
        <w:rPr>
          <w:rFonts w:ascii="IRBadr" w:hAnsi="IRBadr" w:cs="IRBadr"/>
          <w:sz w:val="28"/>
          <w:szCs w:val="28"/>
          <w:rtl/>
          <w:lang w:bidi="fa-IR"/>
        </w:rPr>
        <w:t>جایز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 یا حدی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رادار است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76699A" w:rsidRPr="002D3AF7" w:rsidRDefault="0076699A" w:rsidP="009736C2">
      <w:pPr>
        <w:pStyle w:val="Heading2"/>
        <w:rPr>
          <w:rFonts w:ascii="IRBadr" w:hAnsi="IRBadr" w:cs="IRBadr"/>
          <w:rtl/>
        </w:rPr>
      </w:pPr>
      <w:bookmarkStart w:id="3" w:name="_Toc427626342"/>
      <w:r w:rsidRPr="002D3AF7">
        <w:rPr>
          <w:rFonts w:ascii="IRBadr" w:hAnsi="IRBadr" w:cs="IRBadr"/>
          <w:rtl/>
        </w:rPr>
        <w:t>وسعت معنایی تأدیب</w:t>
      </w:r>
      <w:bookmarkEnd w:id="3"/>
    </w:p>
    <w:p w:rsidR="0076699A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نکته دوم این است که تأدیب به این معنی اختصاص به این ندا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>رد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لزوماً او فعلی را مرتکب شده و ما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برای عدم تکرر روش تنبیه را در پیش 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>می‌گیریم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>.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مواردی که برای پیشگیری است نیز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و بررسی ما خواهد بود.</w:t>
      </w:r>
    </w:p>
    <w:p w:rsidR="0076699A" w:rsidRPr="002D3AF7" w:rsidRDefault="0076699A" w:rsidP="009736C2">
      <w:pPr>
        <w:pStyle w:val="Heading2"/>
        <w:rPr>
          <w:rFonts w:ascii="IRBadr" w:hAnsi="IRBadr" w:cs="IRBadr"/>
          <w:rtl/>
        </w:rPr>
      </w:pPr>
      <w:bookmarkStart w:id="4" w:name="_Toc427626343"/>
      <w:r w:rsidRPr="002D3AF7">
        <w:rPr>
          <w:rFonts w:ascii="IRBadr" w:hAnsi="IRBadr" w:cs="IRBadr"/>
          <w:rtl/>
        </w:rPr>
        <w:t>تأدیب تربیتی</w:t>
      </w:r>
      <w:bookmarkEnd w:id="4"/>
    </w:p>
    <w:p w:rsidR="0076699A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نکته سوم این است که منظور از تأدیبی که اینجا گفته می‌شود،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مرحوم صاحب جواهر 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و مرحوم آقای گلپایگانی هم مفصل توضیح دادند،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تأدیبی است که برای تهذیب و تربیت شخص باشد. اما اگر کسی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روی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انتقام‌جویی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می‌خواهد بزند،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غالب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فقها عقیده دارند مشکل شرعی دارد. لذا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76699A" w:rsidRPr="002D3AF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روی تشفی و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انتقام‌جویی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باشد، کار درستی نیست.</w:t>
      </w:r>
    </w:p>
    <w:p w:rsidR="0076699A" w:rsidRPr="002D3AF7" w:rsidRDefault="0076699A" w:rsidP="009736C2">
      <w:pPr>
        <w:pStyle w:val="Heading2"/>
        <w:rPr>
          <w:rFonts w:ascii="IRBadr" w:hAnsi="IRBadr" w:cs="IRBadr"/>
          <w:rtl/>
        </w:rPr>
      </w:pPr>
      <w:bookmarkStart w:id="5" w:name="_Toc427626344"/>
      <w:r w:rsidRPr="002D3AF7">
        <w:rPr>
          <w:rFonts w:ascii="IRBadr" w:hAnsi="IRBadr" w:cs="IRBadr"/>
          <w:rtl/>
        </w:rPr>
        <w:t>تنبیه آموزشی</w:t>
      </w:r>
      <w:bookmarkEnd w:id="5"/>
    </w:p>
    <w:p w:rsidR="00DA3D92" w:rsidRPr="002D3AF7" w:rsidRDefault="00DA3D92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در مباحث تعلیم و تربیت مطرح است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تنبیه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یک روش تربیتی است.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روشی آموزشی و هم تربیتی باشد،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درروان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شناسی بر روی تنبیه و تشویق آثار خاصی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بارشده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بیش‌ازپیش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A3D92" w:rsidRPr="002D3AF7" w:rsidRDefault="00F27C30" w:rsidP="009736C2">
      <w:pPr>
        <w:pStyle w:val="Heading2"/>
        <w:rPr>
          <w:rFonts w:ascii="IRBadr" w:hAnsi="IRBadr" w:cs="IRBadr"/>
          <w:rtl/>
        </w:rPr>
      </w:pPr>
      <w:bookmarkStart w:id="6" w:name="_Toc427626345"/>
      <w:r w:rsidRPr="002D3AF7">
        <w:rPr>
          <w:rFonts w:ascii="IRBadr" w:hAnsi="IRBadr" w:cs="IRBadr"/>
          <w:rtl/>
        </w:rPr>
        <w:lastRenderedPageBreak/>
        <w:t>اقسام تنبیه</w:t>
      </w:r>
      <w:bookmarkEnd w:id="6"/>
    </w:p>
    <w:p w:rsidR="00F27C30" w:rsidRPr="002D3AF7" w:rsidRDefault="00F27C30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تنبیه دارای اقسام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قسم از آن تنبیه بدنی است که همان ضرب باشد،،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اوقات تنبیه از راه تغافل و غمض عین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در اخم و خشم و توبیخ است.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هم تنبیه و هم سایر اقسام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زیرمجموعه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آن دارای مراتبی است و مرتبه عالیه آن همان تنبیه بدنی است.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تعزیر برای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روند تربیتی و تغییر شخصیت در فرد است.</w:t>
      </w:r>
    </w:p>
    <w:p w:rsidR="00F27C30" w:rsidRPr="002D3AF7" w:rsidRDefault="00F27C30" w:rsidP="009736C2">
      <w:pPr>
        <w:pStyle w:val="Heading2"/>
        <w:rPr>
          <w:rFonts w:ascii="IRBadr" w:hAnsi="IRBadr" w:cs="IRBadr"/>
          <w:rtl/>
        </w:rPr>
      </w:pPr>
      <w:bookmarkStart w:id="7" w:name="_Toc427626346"/>
      <w:r w:rsidRPr="002D3AF7">
        <w:rPr>
          <w:rFonts w:ascii="IRBadr" w:hAnsi="IRBadr" w:cs="IRBadr"/>
          <w:rtl/>
        </w:rPr>
        <w:t>جواز ضرب صبی</w:t>
      </w:r>
      <w:bookmarkEnd w:id="7"/>
    </w:p>
    <w:p w:rsidR="00F27C30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بعد از ذکر این مقدمات،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یک‌جهت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این است که اصولاً زدن برای تربیت جای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>ز است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یا جایز نیست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F27C30" w:rsidRPr="002D3AF7" w:rsidRDefault="00F27C30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در حقیقت این فرع نیز چندان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قرار نگرفته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اصل این است که جایز نیست.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چراکه آزار و اذیت دیگری متصف به حرمت بوده و مسلم و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غیرمسلم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را دربر 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.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ادله لفظی و هم اصول عملیه آن را اقتضاء 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43B21" w:rsidRPr="002D3AF7" w:rsidRDefault="00943B21" w:rsidP="009736C2">
      <w:pPr>
        <w:pStyle w:val="Heading2"/>
        <w:rPr>
          <w:rFonts w:ascii="IRBadr" w:hAnsi="IRBadr" w:cs="IRBadr"/>
          <w:rtl/>
        </w:rPr>
      </w:pPr>
      <w:bookmarkStart w:id="8" w:name="_Toc427626347"/>
      <w:r w:rsidRPr="002D3AF7">
        <w:rPr>
          <w:rFonts w:ascii="IRBadr" w:hAnsi="IRBadr" w:cs="IRBadr"/>
          <w:rtl/>
        </w:rPr>
        <w:t>حق والدین در تنبیه</w:t>
      </w:r>
      <w:bookmarkEnd w:id="8"/>
    </w:p>
    <w:p w:rsidR="00943B21" w:rsidRPr="002D3AF7" w:rsidRDefault="00E35324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تأدیب چارچوبی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ترسیم‌شده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 و در روایات این حق به والدین او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سپرده‌شده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مسئولیت برای 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مسئولیت تربیتی او را بر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عهده‌دارند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>.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اصل در این حکم عدم جواز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در مرتبه دوم،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736C2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در روایات صوم و صلاة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F27C30" w:rsidRPr="002D3AF7">
        <w:rPr>
          <w:rFonts w:ascii="IRBadr" w:hAnsi="IRBadr" w:cs="IRBadr"/>
          <w:sz w:val="28"/>
          <w:szCs w:val="28"/>
          <w:rtl/>
          <w:lang w:bidi="fa-IR"/>
        </w:rPr>
        <w:t xml:space="preserve"> زدن جایز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لذا 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در مقام تربیت برای اولیای طفل تنبیه بدنی جایز است. البته با آن محدودیت بسیار سختی که بعد خواهیم دید. ولی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اصلش جایز است، 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>اما تنها برای اولیای طفل جایز است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>. چون معمول این روایاتی که در ابواب مختلف داریم، در باب تنبیه بدنی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مربوط به اولیای طفل است و غیر اولیا مشمول این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نخواهند شد.</w:t>
      </w:r>
    </w:p>
    <w:p w:rsidR="00943B21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علاوه ب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>ر این روایات عام، روایات خاصی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در بعضی ابواب داریم. مثلاً در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باب نماز است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می‌گوید اگر به سن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هفت‌سالگی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رسید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>ید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می‌شود 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او را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زد برای اینکه نماز 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>ب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خواند. منتها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همان‌جا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می‌شود زد حدی برای آن تعیین کرده است. در باب نماز و روزه و بعضی ابواب خاص ما روایاتی داریم که زدن را تجویز کرده 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>است منتها همه این‌ها حدی برایش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مسئله است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اصل تنبیه بدنی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لا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بالجمله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،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جایز است.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یعنی با دو قید،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>این جواز محقق خواهد شد.</w:t>
      </w:r>
    </w:p>
    <w:p w:rsidR="00943B21" w:rsidRPr="002D3AF7" w:rsidRDefault="00943B21" w:rsidP="009736C2">
      <w:pPr>
        <w:pStyle w:val="Heading2"/>
        <w:rPr>
          <w:rFonts w:ascii="IRBadr" w:hAnsi="IRBadr" w:cs="IRBadr"/>
          <w:rtl/>
        </w:rPr>
      </w:pPr>
      <w:bookmarkStart w:id="9" w:name="_Toc427626348"/>
      <w:r w:rsidRPr="002D3AF7">
        <w:rPr>
          <w:rFonts w:ascii="IRBadr" w:hAnsi="IRBadr" w:cs="IRBadr"/>
          <w:rtl/>
        </w:rPr>
        <w:lastRenderedPageBreak/>
        <w:t>دو قید دخیل در حکم</w:t>
      </w:r>
      <w:bookmarkEnd w:id="9"/>
    </w:p>
    <w:p w:rsidR="00943B21" w:rsidRPr="002D3AF7" w:rsidRDefault="00943B21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دو قید در این زمینه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تأثیرگذار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است؛ 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یکی اینکه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تنها 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>برای اولیای طفل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و دوم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در چارچوب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محدوده‌های بسیار سختی که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 جایز است. دلیلش هم همان روایاتی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در باب صلات و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غیره آمده است. یعنی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روایت می‌گوید، حد برایش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تعیین‌شده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 xml:space="preserve"> حد جایز است.</w:t>
      </w:r>
    </w:p>
    <w:p w:rsidR="006F5E63" w:rsidRPr="002D3AF7" w:rsidRDefault="00E35324" w:rsidP="009736C2">
      <w:pPr>
        <w:pStyle w:val="Heading2"/>
        <w:rPr>
          <w:rFonts w:ascii="IRBadr" w:hAnsi="IRBadr" w:cs="IRBadr"/>
          <w:rtl/>
        </w:rPr>
      </w:pPr>
      <w:bookmarkStart w:id="10" w:name="_Toc427626349"/>
      <w:r w:rsidRPr="002D3AF7">
        <w:rPr>
          <w:rFonts w:ascii="IRBadr" w:hAnsi="IRBadr" w:cs="IRBadr"/>
          <w:rtl/>
        </w:rPr>
        <w:t>جمع‌بندی</w:t>
      </w:r>
      <w:bookmarkEnd w:id="10"/>
    </w:p>
    <w:p w:rsidR="006F5E63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پس جهت اول این است که اصل عدم جواز است، الا ما خرج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>.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در باب تأدیب و تربیت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برای افراد مخصوصی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تنبیه بدنی جایز است،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با حدود و شرایط 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>مخصوص‌های</w:t>
      </w:r>
      <w:r w:rsidR="00943B21"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برای آن وجود دارد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. جهت دوم این است که این زدن به لحاظ متکفل و متصدی محدود است. محدودیت آن این است که این تأدیب و ضربی که بحث می‌کنیم به اولیاء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 اختصاص دارد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.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که از روایات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برمی‌آید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پدر و مادر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و یا کسی که متکفل صبی می‌شود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>، در مقام تربیت او هستند.</w:t>
      </w:r>
    </w:p>
    <w:p w:rsidR="006F5E63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بنابراین هر رهگذری این حق را ندارد که بگوید من می‌خواهم بچه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تربیت 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>کنم تا اخلاق اجتماعی او خوب شود.</w:t>
      </w:r>
    </w:p>
    <w:p w:rsidR="006F5E63" w:rsidRPr="002D3AF7" w:rsidRDefault="006F5E63" w:rsidP="009736C2">
      <w:pPr>
        <w:pStyle w:val="Heading2"/>
        <w:rPr>
          <w:rFonts w:ascii="IRBadr" w:hAnsi="IRBadr" w:cs="IRBadr"/>
          <w:rtl/>
        </w:rPr>
      </w:pPr>
      <w:bookmarkStart w:id="11" w:name="_Toc427626350"/>
      <w:r w:rsidRPr="002D3AF7">
        <w:rPr>
          <w:rFonts w:ascii="IRBadr" w:hAnsi="IRBadr" w:cs="IRBadr"/>
          <w:rtl/>
        </w:rPr>
        <w:t>تنقیح مناط</w:t>
      </w:r>
      <w:bookmarkEnd w:id="11"/>
    </w:p>
    <w:p w:rsidR="006F5E63" w:rsidRPr="002D3AF7" w:rsidRDefault="00E35324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 کسانی که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 عرفی مسئولیت تربیتی صبی را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بر عهده‌دارند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>،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 تنقیح مناط شود که برای او این حق وجود دارد، </w:t>
      </w:r>
      <w:r w:rsidR="009863DA" w:rsidRPr="002D3AF7">
        <w:rPr>
          <w:rFonts w:ascii="IRBadr" w:hAnsi="IRBadr" w:cs="IRBadr"/>
          <w:sz w:val="28"/>
          <w:szCs w:val="28"/>
          <w:rtl/>
          <w:lang w:bidi="fa-IR"/>
        </w:rPr>
        <w:t>بنابراین کسانی که این نوع مسئولیتی ندارند، از این باب نمی‌توانند اقدامی بکنند.</w:t>
      </w:r>
    </w:p>
    <w:p w:rsidR="006F5E63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>گ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فتیم چون از او گناهی معنا ندارد،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لذا اصل این است که حد و تعزیری برای او نیست. منتها روایات و دلیل خاص داشتیم که برای صبی تعزیر هست. اما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در 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مواردی که از فرد گناه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صادرشده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است، برای افراد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="006F5E63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6F5E63" w:rsidRPr="002D3AF7" w:rsidRDefault="00E35324" w:rsidP="009736C2">
      <w:pPr>
        <w:pStyle w:val="Heading2"/>
        <w:rPr>
          <w:rFonts w:ascii="IRBadr" w:hAnsi="IRBadr" w:cs="IRBadr"/>
          <w:rtl/>
        </w:rPr>
      </w:pPr>
      <w:bookmarkStart w:id="12" w:name="_Toc427626351"/>
      <w:r w:rsidRPr="002D3AF7">
        <w:rPr>
          <w:rFonts w:ascii="IRBadr" w:hAnsi="IRBadr" w:cs="IRBadr"/>
          <w:rtl/>
        </w:rPr>
        <w:t>نتیجه‌گیری</w:t>
      </w:r>
      <w:bookmarkEnd w:id="12"/>
    </w:p>
    <w:p w:rsidR="005C7056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بنابراین بحث تأدیب اعم است از بحث گناهان و قلمروهای دیگر شخصیتی و اخلاقی هم می‌گیرد. ولی کسی 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>می‌تواند اقدام کند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اولیای اطفال است. غیر اولیای اطفال نمی‌توانند. بله اگر از مقوله گناهان باشد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>، حاکم هم می‌تواند از باب تعزیر اقدام کند.</w:t>
      </w:r>
    </w:p>
    <w:p w:rsidR="005C7056" w:rsidRPr="002D3AF7" w:rsidRDefault="009863DA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D3AF7">
        <w:rPr>
          <w:rFonts w:ascii="IRBadr" w:hAnsi="IRBadr" w:cs="IRBadr"/>
          <w:sz w:val="28"/>
          <w:szCs w:val="28"/>
          <w:rtl/>
          <w:lang w:bidi="fa-IR"/>
        </w:rPr>
        <w:lastRenderedPageBreak/>
        <w:t>جهت سوم این است که اول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یای اطفال می‌توانند تنبیه بدنی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کنند،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معلمین و 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بقیه افرا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تأثیرگذار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 در تربیت او.</w:t>
      </w:r>
      <w:r w:rsidR="008928D5" w:rsidRPr="002D3AF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324" w:rsidRPr="002D3AF7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 ثانوی و از باب حکومت و اختیارات حکومت آن محل بحث نیست. 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بلکه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تابع تشخیص حکومت است.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 xml:space="preserve">اینکه این تأدیب تا چه اندازه جایز است. روایاتی دارد 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2D3AF7">
        <w:rPr>
          <w:rFonts w:ascii="IRBadr" w:hAnsi="IRBadr" w:cs="IRBadr"/>
          <w:sz w:val="28"/>
          <w:szCs w:val="28"/>
          <w:rtl/>
          <w:lang w:bidi="fa-IR"/>
        </w:rPr>
        <w:t>در باب هشت، ابواب بقیه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 الحدود صفحه پانصد و </w:t>
      </w:r>
      <w:r w:rsidR="00B83A6B" w:rsidRPr="002D3AF7">
        <w:rPr>
          <w:rFonts w:ascii="IRBadr" w:hAnsi="IRBadr" w:cs="IRBadr"/>
          <w:sz w:val="28"/>
          <w:szCs w:val="28"/>
          <w:rtl/>
          <w:lang w:bidi="fa-IR"/>
        </w:rPr>
        <w:t>هشتادویک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A6B" w:rsidRPr="002D3AF7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5C7056" w:rsidRPr="002D3AF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52670" w:rsidRPr="002D3AF7" w:rsidRDefault="00152670" w:rsidP="009736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2D3AF7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CB" w:rsidRDefault="00F232CB" w:rsidP="000D5800">
      <w:pPr>
        <w:spacing w:after="0" w:line="240" w:lineRule="auto"/>
      </w:pPr>
      <w:r>
        <w:separator/>
      </w:r>
    </w:p>
  </w:endnote>
  <w:endnote w:type="continuationSeparator" w:id="0">
    <w:p w:rsidR="00F232CB" w:rsidRDefault="00F232C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5" w:rsidRDefault="0089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6839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7C3" w:rsidRDefault="003D1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6C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8928D5" w:rsidRDefault="00892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5" w:rsidRDefault="0089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CB" w:rsidRDefault="00F232CB" w:rsidP="000D5800">
      <w:pPr>
        <w:spacing w:after="0" w:line="240" w:lineRule="auto"/>
      </w:pPr>
      <w:r>
        <w:separator/>
      </w:r>
    </w:p>
  </w:footnote>
  <w:footnote w:type="continuationSeparator" w:id="0">
    <w:p w:rsidR="00F232CB" w:rsidRDefault="00F232CB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5" w:rsidRDefault="0089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33" w:rsidRPr="00D723BF" w:rsidRDefault="000D5800" w:rsidP="00750094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C653C77" wp14:editId="12CD724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035A0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6EA6E257" wp14:editId="134612C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11271">
      <w:rPr>
        <w:rFonts w:ascii="IranNastaliq" w:hAnsi="IranNastaliq" w:cs="IranNastaliq"/>
        <w:sz w:val="40"/>
        <w:szCs w:val="40"/>
        <w:rtl/>
      </w:rPr>
      <w:t xml:space="preserve"> </w:t>
    </w:r>
    <w:r w:rsidR="00D91675">
      <w:rPr>
        <w:rFonts w:ascii="IranNastaliq" w:hAnsi="IranNastaliq" w:cs="IranNastaliq"/>
        <w:sz w:val="40"/>
        <w:szCs w:val="40"/>
        <w:rtl/>
      </w:rPr>
      <w:t>شماره ثبت</w:t>
    </w:r>
    <w:r w:rsidR="00D91675">
      <w:rPr>
        <w:rFonts w:ascii="IranNastaliq" w:hAnsi="IranNastaliq" w:cs="IranNastaliq" w:hint="cs"/>
        <w:sz w:val="40"/>
        <w:szCs w:val="40"/>
        <w:rtl/>
      </w:rPr>
      <w:t>:</w:t>
    </w:r>
    <w:r w:rsidR="00750094">
      <w:rPr>
        <w:rFonts w:ascii="IranNastaliq" w:hAnsi="IranNastaliq" w:cs="IranNastaliq" w:hint="cs"/>
        <w:sz w:val="40"/>
        <w:szCs w:val="40"/>
        <w:rtl/>
        <w:lang w:bidi="fa-IR"/>
      </w:rPr>
      <w:t>841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5" w:rsidRDefault="00892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5"/>
    <w:rsid w:val="00011167"/>
    <w:rsid w:val="000148C4"/>
    <w:rsid w:val="000228A2"/>
    <w:rsid w:val="000324F1"/>
    <w:rsid w:val="00041FE0"/>
    <w:rsid w:val="00044097"/>
    <w:rsid w:val="00051A63"/>
    <w:rsid w:val="00052BA3"/>
    <w:rsid w:val="0006363E"/>
    <w:rsid w:val="00080DFF"/>
    <w:rsid w:val="000825BD"/>
    <w:rsid w:val="00085ED5"/>
    <w:rsid w:val="00087A81"/>
    <w:rsid w:val="000A1A51"/>
    <w:rsid w:val="000C2C26"/>
    <w:rsid w:val="000C74B2"/>
    <w:rsid w:val="000C7C2A"/>
    <w:rsid w:val="000D2D0D"/>
    <w:rsid w:val="000D5800"/>
    <w:rsid w:val="000F02FB"/>
    <w:rsid w:val="000F1897"/>
    <w:rsid w:val="000F7E72"/>
    <w:rsid w:val="00100C64"/>
    <w:rsid w:val="00101E2D"/>
    <w:rsid w:val="00102CEB"/>
    <w:rsid w:val="00117955"/>
    <w:rsid w:val="00125087"/>
    <w:rsid w:val="0012603F"/>
    <w:rsid w:val="00133E1D"/>
    <w:rsid w:val="0013617D"/>
    <w:rsid w:val="00136442"/>
    <w:rsid w:val="00150D4B"/>
    <w:rsid w:val="00152670"/>
    <w:rsid w:val="00154862"/>
    <w:rsid w:val="00166DD8"/>
    <w:rsid w:val="00166F78"/>
    <w:rsid w:val="001712D6"/>
    <w:rsid w:val="0017248C"/>
    <w:rsid w:val="00174720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6B6"/>
    <w:rsid w:val="001E4FFF"/>
    <w:rsid w:val="001F2E3E"/>
    <w:rsid w:val="001F7D0D"/>
    <w:rsid w:val="00224C0A"/>
    <w:rsid w:val="00226106"/>
    <w:rsid w:val="002376A5"/>
    <w:rsid w:val="002417C9"/>
    <w:rsid w:val="002529C5"/>
    <w:rsid w:val="00257EE3"/>
    <w:rsid w:val="00270294"/>
    <w:rsid w:val="00270BFA"/>
    <w:rsid w:val="0028497A"/>
    <w:rsid w:val="002914BD"/>
    <w:rsid w:val="00297263"/>
    <w:rsid w:val="002A3A69"/>
    <w:rsid w:val="002C56FD"/>
    <w:rsid w:val="002D3AF7"/>
    <w:rsid w:val="002D49E4"/>
    <w:rsid w:val="002E450B"/>
    <w:rsid w:val="002E73F9"/>
    <w:rsid w:val="002F05B9"/>
    <w:rsid w:val="002F15AC"/>
    <w:rsid w:val="0030533B"/>
    <w:rsid w:val="0033569B"/>
    <w:rsid w:val="00340BA3"/>
    <w:rsid w:val="0034165B"/>
    <w:rsid w:val="00355F35"/>
    <w:rsid w:val="00360641"/>
    <w:rsid w:val="00361E5A"/>
    <w:rsid w:val="00366400"/>
    <w:rsid w:val="003840A1"/>
    <w:rsid w:val="003963D7"/>
    <w:rsid w:val="00396F28"/>
    <w:rsid w:val="003A1A05"/>
    <w:rsid w:val="003A2654"/>
    <w:rsid w:val="003C06BF"/>
    <w:rsid w:val="003C7899"/>
    <w:rsid w:val="003D17C3"/>
    <w:rsid w:val="003D2F0A"/>
    <w:rsid w:val="003D563F"/>
    <w:rsid w:val="003E1E58"/>
    <w:rsid w:val="003F57A0"/>
    <w:rsid w:val="00405199"/>
    <w:rsid w:val="00410699"/>
    <w:rsid w:val="00415360"/>
    <w:rsid w:val="004156ED"/>
    <w:rsid w:val="0044591E"/>
    <w:rsid w:val="00445BEB"/>
    <w:rsid w:val="00455CBC"/>
    <w:rsid w:val="004651D2"/>
    <w:rsid w:val="00465D26"/>
    <w:rsid w:val="004679F8"/>
    <w:rsid w:val="00473B33"/>
    <w:rsid w:val="004B337F"/>
    <w:rsid w:val="004B734C"/>
    <w:rsid w:val="004C061C"/>
    <w:rsid w:val="004F3596"/>
    <w:rsid w:val="00515883"/>
    <w:rsid w:val="00554A97"/>
    <w:rsid w:val="00572E2D"/>
    <w:rsid w:val="00574D76"/>
    <w:rsid w:val="00592103"/>
    <w:rsid w:val="005941DD"/>
    <w:rsid w:val="00596E75"/>
    <w:rsid w:val="005A545E"/>
    <w:rsid w:val="005A5862"/>
    <w:rsid w:val="005B0852"/>
    <w:rsid w:val="005B45BC"/>
    <w:rsid w:val="005C06AE"/>
    <w:rsid w:val="005C1BC1"/>
    <w:rsid w:val="005C392B"/>
    <w:rsid w:val="005C7056"/>
    <w:rsid w:val="005E00C3"/>
    <w:rsid w:val="005F4823"/>
    <w:rsid w:val="00610C18"/>
    <w:rsid w:val="00612385"/>
    <w:rsid w:val="0061376C"/>
    <w:rsid w:val="00636EFA"/>
    <w:rsid w:val="0066229C"/>
    <w:rsid w:val="0069696C"/>
    <w:rsid w:val="006A085A"/>
    <w:rsid w:val="006D2EEE"/>
    <w:rsid w:val="006D3A87"/>
    <w:rsid w:val="006F01B4"/>
    <w:rsid w:val="006F5E63"/>
    <w:rsid w:val="007020CE"/>
    <w:rsid w:val="00723CD3"/>
    <w:rsid w:val="00734D59"/>
    <w:rsid w:val="0073609B"/>
    <w:rsid w:val="00750094"/>
    <w:rsid w:val="00752745"/>
    <w:rsid w:val="0076665E"/>
    <w:rsid w:val="0076699A"/>
    <w:rsid w:val="007749BC"/>
    <w:rsid w:val="00780C88"/>
    <w:rsid w:val="00780E25"/>
    <w:rsid w:val="007818F0"/>
    <w:rsid w:val="00783462"/>
    <w:rsid w:val="00787B13"/>
    <w:rsid w:val="00792FAC"/>
    <w:rsid w:val="007A5D2F"/>
    <w:rsid w:val="007B0F70"/>
    <w:rsid w:val="007B6FEB"/>
    <w:rsid w:val="007B755E"/>
    <w:rsid w:val="007C1EF7"/>
    <w:rsid w:val="007C710E"/>
    <w:rsid w:val="007D0B88"/>
    <w:rsid w:val="007D1549"/>
    <w:rsid w:val="007E03E9"/>
    <w:rsid w:val="007E04EE"/>
    <w:rsid w:val="007E3512"/>
    <w:rsid w:val="007E7FA7"/>
    <w:rsid w:val="007F0721"/>
    <w:rsid w:val="007F4A90"/>
    <w:rsid w:val="00803501"/>
    <w:rsid w:val="0080799B"/>
    <w:rsid w:val="00807BE3"/>
    <w:rsid w:val="00811F02"/>
    <w:rsid w:val="0081768F"/>
    <w:rsid w:val="008229DA"/>
    <w:rsid w:val="00825EFA"/>
    <w:rsid w:val="008407A4"/>
    <w:rsid w:val="00844860"/>
    <w:rsid w:val="00845CC4"/>
    <w:rsid w:val="008644F4"/>
    <w:rsid w:val="00872F6A"/>
    <w:rsid w:val="00873CCD"/>
    <w:rsid w:val="00883725"/>
    <w:rsid w:val="00883733"/>
    <w:rsid w:val="008928D5"/>
    <w:rsid w:val="008965D2"/>
    <w:rsid w:val="008A236D"/>
    <w:rsid w:val="008B2A49"/>
    <w:rsid w:val="008B565A"/>
    <w:rsid w:val="008C1B2A"/>
    <w:rsid w:val="008C3414"/>
    <w:rsid w:val="008D36D5"/>
    <w:rsid w:val="008E3903"/>
    <w:rsid w:val="008F63E3"/>
    <w:rsid w:val="008F6BF5"/>
    <w:rsid w:val="00901C3D"/>
    <w:rsid w:val="00913C3B"/>
    <w:rsid w:val="00915509"/>
    <w:rsid w:val="00925897"/>
    <w:rsid w:val="00927388"/>
    <w:rsid w:val="009274FE"/>
    <w:rsid w:val="009401AC"/>
    <w:rsid w:val="00943B21"/>
    <w:rsid w:val="009613AC"/>
    <w:rsid w:val="009736C2"/>
    <w:rsid w:val="00980643"/>
    <w:rsid w:val="00985E90"/>
    <w:rsid w:val="009863DA"/>
    <w:rsid w:val="00987F25"/>
    <w:rsid w:val="009B46BC"/>
    <w:rsid w:val="009B61C3"/>
    <w:rsid w:val="009C7B4F"/>
    <w:rsid w:val="009E3C17"/>
    <w:rsid w:val="009E4E45"/>
    <w:rsid w:val="009F4EB3"/>
    <w:rsid w:val="009F739F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56B1"/>
    <w:rsid w:val="00AD0304"/>
    <w:rsid w:val="00AD27BE"/>
    <w:rsid w:val="00AF0F1A"/>
    <w:rsid w:val="00AF14DC"/>
    <w:rsid w:val="00B11271"/>
    <w:rsid w:val="00B15027"/>
    <w:rsid w:val="00B21CF4"/>
    <w:rsid w:val="00B24300"/>
    <w:rsid w:val="00B63F15"/>
    <w:rsid w:val="00B83A6B"/>
    <w:rsid w:val="00B84BE5"/>
    <w:rsid w:val="00BB5F7E"/>
    <w:rsid w:val="00BB6399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731F"/>
    <w:rsid w:val="00C43972"/>
    <w:rsid w:val="00C46244"/>
    <w:rsid w:val="00C60D75"/>
    <w:rsid w:val="00C64CEA"/>
    <w:rsid w:val="00C73012"/>
    <w:rsid w:val="00C763DD"/>
    <w:rsid w:val="00C84FC0"/>
    <w:rsid w:val="00C9244A"/>
    <w:rsid w:val="00CA6877"/>
    <w:rsid w:val="00CB5DA3"/>
    <w:rsid w:val="00CE0815"/>
    <w:rsid w:val="00CE1E8D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66699"/>
    <w:rsid w:val="00D723BF"/>
    <w:rsid w:val="00D76353"/>
    <w:rsid w:val="00D91675"/>
    <w:rsid w:val="00D95014"/>
    <w:rsid w:val="00DA2F49"/>
    <w:rsid w:val="00DA3BE7"/>
    <w:rsid w:val="00DA3D92"/>
    <w:rsid w:val="00DB28BB"/>
    <w:rsid w:val="00DC603F"/>
    <w:rsid w:val="00DC73DC"/>
    <w:rsid w:val="00DD3C0D"/>
    <w:rsid w:val="00DD4864"/>
    <w:rsid w:val="00DD71A2"/>
    <w:rsid w:val="00DE1DC4"/>
    <w:rsid w:val="00DF61AA"/>
    <w:rsid w:val="00E00A54"/>
    <w:rsid w:val="00E0639C"/>
    <w:rsid w:val="00E067E6"/>
    <w:rsid w:val="00E12531"/>
    <w:rsid w:val="00E143B0"/>
    <w:rsid w:val="00E35324"/>
    <w:rsid w:val="00E47549"/>
    <w:rsid w:val="00E55891"/>
    <w:rsid w:val="00E605D9"/>
    <w:rsid w:val="00E6283A"/>
    <w:rsid w:val="00E732A3"/>
    <w:rsid w:val="00E83A85"/>
    <w:rsid w:val="00E90FC4"/>
    <w:rsid w:val="00EA01EC"/>
    <w:rsid w:val="00EA15B0"/>
    <w:rsid w:val="00EA42F5"/>
    <w:rsid w:val="00EA5D97"/>
    <w:rsid w:val="00EC4393"/>
    <w:rsid w:val="00EE1C07"/>
    <w:rsid w:val="00EE2C91"/>
    <w:rsid w:val="00EE3979"/>
    <w:rsid w:val="00EF138C"/>
    <w:rsid w:val="00F034CE"/>
    <w:rsid w:val="00F10A0F"/>
    <w:rsid w:val="00F13066"/>
    <w:rsid w:val="00F232CB"/>
    <w:rsid w:val="00F247BD"/>
    <w:rsid w:val="00F27C30"/>
    <w:rsid w:val="00F40284"/>
    <w:rsid w:val="00F40EE2"/>
    <w:rsid w:val="00F67976"/>
    <w:rsid w:val="00F70BE1"/>
    <w:rsid w:val="00F837FF"/>
    <w:rsid w:val="00FA5AE2"/>
    <w:rsid w:val="00FB7431"/>
    <w:rsid w:val="00FC0862"/>
    <w:rsid w:val="00FC20D5"/>
    <w:rsid w:val="00FC70FB"/>
    <w:rsid w:val="00FD143D"/>
    <w:rsid w:val="00FD64E5"/>
    <w:rsid w:val="00FD70AF"/>
    <w:rsid w:val="00FE24EB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1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1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DAB1-4DB2-4380-9A89-B27F54E9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1307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113</cp:revision>
  <dcterms:created xsi:type="dcterms:W3CDTF">2014-12-22T04:07:00Z</dcterms:created>
  <dcterms:modified xsi:type="dcterms:W3CDTF">2015-08-08T05:26:00Z</dcterms:modified>
</cp:coreProperties>
</file>