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5E" w:rsidRPr="00BA795F" w:rsidRDefault="00B20B33" w:rsidP="00065DEA">
      <w:pPr>
        <w:bidi/>
        <w:jc w:val="both"/>
        <w:rPr>
          <w:rFonts w:ascii="IRBadr" w:hAnsi="IRBadr" w:cs="IRBadr"/>
          <w:b/>
          <w:bCs/>
          <w:sz w:val="28"/>
          <w:szCs w:val="28"/>
          <w:lang w:bidi="fa-IR"/>
        </w:rPr>
      </w:pP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بسم الله الرحمن الرحیم</w:t>
      </w:r>
    </w:p>
    <w:p w:rsidR="00FD615E" w:rsidRPr="00BA795F" w:rsidRDefault="00FD615E" w:rsidP="00065DEA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فهرست مطالب:</w:t>
      </w:r>
    </w:p>
    <w:p w:rsidR="00065DEA" w:rsidRPr="00BA795F" w:rsidRDefault="00FD615E" w:rsidP="00065DEA">
      <w:pPr>
        <w:pStyle w:val="11"/>
        <w:tabs>
          <w:tab w:val="right" w:leader="dot" w:pos="9350"/>
        </w:tabs>
        <w:bidi/>
        <w:rPr>
          <w:rFonts w:ascii="IRBadr" w:eastAsiaTheme="minorEastAsia" w:hAnsi="IRBadr" w:cs="IRBadr"/>
          <w:noProof/>
          <w:lang w:bidi="fa-IR"/>
        </w:rPr>
      </w:pP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begin"/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instrText xml:space="preserve"> </w:instrText>
      </w:r>
      <w:r w:rsidRPr="00BA795F">
        <w:rPr>
          <w:rFonts w:ascii="IRBadr" w:hAnsi="IRBadr" w:cs="IRBadr"/>
          <w:b/>
          <w:bCs/>
          <w:sz w:val="28"/>
          <w:szCs w:val="28"/>
          <w:lang w:bidi="fa-IR"/>
        </w:rPr>
        <w:instrText>TOC \o "</w:instrText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instrText>1-3</w:instrText>
      </w:r>
      <w:r w:rsidRPr="00BA795F">
        <w:rPr>
          <w:rFonts w:ascii="IRBadr" w:hAnsi="IRBadr" w:cs="IRBadr"/>
          <w:b/>
          <w:bCs/>
          <w:sz w:val="28"/>
          <w:szCs w:val="28"/>
          <w:lang w:bidi="fa-IR"/>
        </w:rPr>
        <w:instrText xml:space="preserve">" \h \z \u </w:instrText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separate"/>
      </w:r>
      <w:hyperlink w:anchor="_Toc425554593" w:history="1">
        <w:r w:rsidR="00065DEA" w:rsidRPr="00BA795F">
          <w:rPr>
            <w:rStyle w:val="ae"/>
            <w:rFonts w:ascii="IRBadr" w:hAnsi="IRBadr" w:cs="IRBadr"/>
            <w:noProof/>
            <w:rtl/>
            <w:lang w:bidi="fa-IR"/>
          </w:rPr>
          <w:t>سه حکم کلی برای مسکر</w:t>
        </w:r>
        <w:r w:rsidR="00065DEA" w:rsidRPr="00BA795F">
          <w:rPr>
            <w:rFonts w:ascii="IRBadr" w:hAnsi="IRBadr" w:cs="IRBadr"/>
            <w:noProof/>
            <w:webHidden/>
            <w:rtl/>
            <w:lang w:bidi="fa-IR"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  <w:lang w:bidi="fa-IR"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  <w:lang w:bidi="fa-IR"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  <w:lang w:bidi="fa-IR"/>
          </w:rPr>
          <w:instrText xml:space="preserve">425554593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  <w:lang w:bidi="fa-IR"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  <w:lang w:bidi="fa-IR"/>
          </w:rPr>
          <w:t>2</w:t>
        </w:r>
        <w:r w:rsidR="00065DEA" w:rsidRPr="00BA795F">
          <w:rPr>
            <w:rStyle w:val="ae"/>
            <w:rFonts w:ascii="IRBadr" w:hAnsi="IRBadr" w:cs="IRBadr"/>
            <w:noProof/>
            <w:rtl/>
            <w:lang w:bidi="fa-IR"/>
          </w:rPr>
          <w:fldChar w:fldCharType="end"/>
        </w:r>
      </w:hyperlink>
    </w:p>
    <w:p w:rsidR="00065DEA" w:rsidRPr="00BA795F" w:rsidRDefault="00D5479B" w:rsidP="00065DE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594" w:history="1">
        <w:r w:rsidR="00065DEA" w:rsidRPr="00BA795F">
          <w:rPr>
            <w:rStyle w:val="ae"/>
            <w:rFonts w:ascii="IRBadr" w:hAnsi="IRBadr" w:cs="IRBadr"/>
            <w:noProof/>
            <w:rtl/>
          </w:rPr>
          <w:t>نسبت بین نجاست و حرمت شرب مسکرات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425554594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2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595" w:history="1">
        <w:r w:rsidR="00065DEA" w:rsidRPr="00BA795F">
          <w:rPr>
            <w:rStyle w:val="ae"/>
            <w:rFonts w:ascii="IRBadr" w:hAnsi="IRBadr" w:cs="IRBadr"/>
            <w:noProof/>
            <w:rtl/>
          </w:rPr>
          <w:t>نسبت بین حرمت اکل و حد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425554595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3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596" w:history="1">
        <w:r w:rsidR="00065DEA" w:rsidRPr="00BA795F">
          <w:rPr>
            <w:rStyle w:val="ae"/>
            <w:rFonts w:ascii="IRBadr" w:hAnsi="IRBadr" w:cs="IRBadr"/>
            <w:noProof/>
            <w:rtl/>
          </w:rPr>
          <w:t>چند مطلب: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425554596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3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597" w:history="1">
        <w:r w:rsidR="00065DEA" w:rsidRPr="00BA795F">
          <w:rPr>
            <w:rStyle w:val="ae"/>
            <w:rFonts w:ascii="IRBadr" w:hAnsi="IRBadr" w:cs="IRBadr"/>
            <w:noProof/>
            <w:rtl/>
          </w:rPr>
          <w:t>القای خصوصیت از شرب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425554597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4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598" w:history="1">
        <w:r w:rsidR="00065DEA" w:rsidRPr="00BA795F">
          <w:rPr>
            <w:rStyle w:val="ae"/>
            <w:rFonts w:ascii="IRBadr" w:hAnsi="IRBadr" w:cs="IRBadr"/>
            <w:noProof/>
            <w:rtl/>
          </w:rPr>
          <w:t>تبدیل تعبیر شرب به تناول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425554598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4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599" w:history="1">
        <w:r w:rsidR="00065DEA" w:rsidRPr="00BA795F">
          <w:rPr>
            <w:rStyle w:val="ae"/>
            <w:rFonts w:ascii="IRBadr" w:hAnsi="IRBadr" w:cs="IRBadr"/>
            <w:noProof/>
            <w:rtl/>
          </w:rPr>
          <w:t>مفهوم مسکر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425554599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5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0" w:history="1">
        <w:r w:rsidR="00065DEA" w:rsidRPr="00BA795F">
          <w:rPr>
            <w:rStyle w:val="ae"/>
            <w:rFonts w:ascii="IRBadr" w:hAnsi="IRBadr" w:cs="IRBadr"/>
            <w:noProof/>
            <w:rtl/>
          </w:rPr>
          <w:t xml:space="preserve">عدم شمول قرص های </w:t>
        </w:r>
        <w:r w:rsidR="005D0F09">
          <w:rPr>
            <w:rStyle w:val="ae"/>
            <w:rFonts w:ascii="IRBadr" w:hAnsi="IRBadr" w:cs="IRBadr"/>
            <w:noProof/>
            <w:rtl/>
          </w:rPr>
          <w:t>خواب‌آور</w:t>
        </w:r>
        <w:r w:rsidR="00065DEA" w:rsidRPr="00BA795F">
          <w:rPr>
            <w:rStyle w:val="ae"/>
            <w:rFonts w:ascii="IRBadr" w:hAnsi="IRBadr" w:cs="IRBadr"/>
            <w:noProof/>
            <w:rtl/>
          </w:rPr>
          <w:t xml:space="preserve"> و </w:t>
        </w:r>
        <w:r w:rsidR="005D0F09">
          <w:rPr>
            <w:rStyle w:val="ae"/>
            <w:rFonts w:ascii="IRBadr" w:hAnsi="IRBadr" w:cs="IRBadr"/>
            <w:noProof/>
            <w:rtl/>
          </w:rPr>
          <w:t>نشاط‌آور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425554600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5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1" w:history="1">
        <w:r w:rsidR="00065DEA" w:rsidRPr="00BA795F">
          <w:rPr>
            <w:rStyle w:val="ae"/>
            <w:rFonts w:ascii="IRBadr" w:hAnsi="IRBadr" w:cs="IRBadr"/>
            <w:noProof/>
            <w:rtl/>
          </w:rPr>
          <w:t>القاء خصوصیت از مسکر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425554601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5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2" w:history="1">
        <w:r w:rsidR="00065DEA" w:rsidRPr="00BA795F">
          <w:rPr>
            <w:rStyle w:val="ae"/>
            <w:rFonts w:ascii="IRBadr" w:hAnsi="IRBadr" w:cs="IRBadr"/>
            <w:noProof/>
            <w:rtl/>
          </w:rPr>
          <w:t>مسئله مورد بحث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425554602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6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3" w:history="1">
        <w:r w:rsidR="00065DEA" w:rsidRPr="00BA795F">
          <w:rPr>
            <w:rStyle w:val="ae"/>
            <w:rFonts w:ascii="IRBadr" w:hAnsi="IRBadr" w:cs="IRBadr"/>
            <w:noProof/>
            <w:rtl/>
          </w:rPr>
          <w:t>شرایط ثبوت حد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425554603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7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4" w:history="1">
        <w:r w:rsidR="00065DEA" w:rsidRPr="00BA795F">
          <w:rPr>
            <w:rStyle w:val="ae"/>
            <w:rFonts w:ascii="IRBadr" w:hAnsi="IRBadr" w:cs="IRBadr"/>
            <w:noProof/>
            <w:rtl/>
          </w:rPr>
          <w:t>روایات این مبحث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425554604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7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5" w:history="1">
        <w:r w:rsidR="00065DEA" w:rsidRPr="00BA795F">
          <w:rPr>
            <w:rStyle w:val="ae"/>
            <w:rFonts w:ascii="IRBadr" w:hAnsi="IRBadr" w:cs="IRBadr"/>
            <w:noProof/>
            <w:rtl/>
          </w:rPr>
          <w:t>اختیار در مقابل اجبار، اکراه و اضطرار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425554605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8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6" w:history="1">
        <w:r w:rsidR="00065DEA" w:rsidRPr="00BA795F">
          <w:rPr>
            <w:rStyle w:val="ae"/>
            <w:rFonts w:ascii="IRBadr" w:hAnsi="IRBadr" w:cs="IRBadr"/>
            <w:noProof/>
            <w:rtl/>
          </w:rPr>
          <w:t>سه نوع غیر مختار: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425554606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8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7" w:history="1">
        <w:r w:rsidR="00065DEA" w:rsidRPr="00BA795F">
          <w:rPr>
            <w:rStyle w:val="ae"/>
            <w:rFonts w:ascii="IRBadr" w:hAnsi="IRBadr" w:cs="IRBadr"/>
            <w:noProof/>
            <w:rtl/>
          </w:rPr>
          <w:t>علم به موضوع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425554607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8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3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8" w:history="1">
        <w:r w:rsidR="00065DEA" w:rsidRPr="00BA795F">
          <w:rPr>
            <w:rStyle w:val="ae"/>
            <w:rFonts w:ascii="IRBadr" w:hAnsi="IRBadr" w:cs="IRBadr"/>
            <w:noProof/>
            <w:rtl/>
          </w:rPr>
          <w:t>علم به حکم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425554608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9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065DEA" w:rsidRPr="00BA795F" w:rsidRDefault="00D5479B" w:rsidP="00065DEA">
      <w:pPr>
        <w:pStyle w:val="21"/>
        <w:tabs>
          <w:tab w:val="right" w:leader="dot" w:pos="9350"/>
        </w:tabs>
        <w:bidi/>
        <w:rPr>
          <w:rFonts w:ascii="IRBadr" w:hAnsi="IRBadr" w:cs="IRBadr"/>
          <w:noProof/>
        </w:rPr>
      </w:pPr>
      <w:hyperlink w:anchor="_Toc425554609" w:history="1">
        <w:r w:rsidR="00065DEA" w:rsidRPr="00BA795F">
          <w:rPr>
            <w:rStyle w:val="ae"/>
            <w:rFonts w:ascii="IRBadr" w:hAnsi="IRBadr" w:cs="IRBadr"/>
            <w:noProof/>
            <w:rtl/>
          </w:rPr>
          <w:t>روایاتی در باب جهل به حکم</w:t>
        </w:r>
        <w:r w:rsidR="00065DEA" w:rsidRPr="00BA795F">
          <w:rPr>
            <w:rFonts w:ascii="IRBadr" w:hAnsi="IRBadr" w:cs="IRBadr"/>
            <w:noProof/>
            <w:webHidden/>
            <w:rtl/>
          </w:rPr>
          <w:tab/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begin"/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 </w:instrText>
        </w:r>
        <w:r w:rsidR="00065DEA" w:rsidRPr="00BA795F">
          <w:rPr>
            <w:rFonts w:ascii="IRBadr" w:hAnsi="IRBadr" w:cs="IRBadr"/>
            <w:noProof/>
            <w:webHidden/>
          </w:rPr>
          <w:instrText>PAGEREF _Toc</w:instrText>
        </w:r>
        <w:r w:rsidR="00065DEA" w:rsidRPr="00BA795F">
          <w:rPr>
            <w:rFonts w:ascii="IRBadr" w:hAnsi="IRBadr" w:cs="IRBadr"/>
            <w:noProof/>
            <w:webHidden/>
            <w:rtl/>
          </w:rPr>
          <w:instrText xml:space="preserve">425554609 </w:instrText>
        </w:r>
        <w:r w:rsidR="00065DEA" w:rsidRPr="00BA795F">
          <w:rPr>
            <w:rFonts w:ascii="IRBadr" w:hAnsi="IRBadr" w:cs="IRBadr"/>
            <w:noProof/>
            <w:webHidden/>
          </w:rPr>
          <w:instrText xml:space="preserve">\h </w:instrText>
        </w:r>
        <w:r w:rsidR="00065DEA" w:rsidRPr="00BA795F">
          <w:rPr>
            <w:rStyle w:val="ae"/>
            <w:rFonts w:ascii="IRBadr" w:hAnsi="IRBadr" w:cs="IRBadr"/>
            <w:noProof/>
            <w:rtl/>
          </w:rPr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separate"/>
        </w:r>
        <w:r w:rsidR="00065DEA" w:rsidRPr="00BA795F">
          <w:rPr>
            <w:rFonts w:ascii="IRBadr" w:hAnsi="IRBadr" w:cs="IRBadr"/>
            <w:noProof/>
            <w:webHidden/>
            <w:rtl/>
          </w:rPr>
          <w:t>9</w:t>
        </w:r>
        <w:r w:rsidR="00065DEA" w:rsidRPr="00BA795F">
          <w:rPr>
            <w:rStyle w:val="ae"/>
            <w:rFonts w:ascii="IRBadr" w:hAnsi="IRBadr" w:cs="IRBadr"/>
            <w:noProof/>
            <w:rtl/>
          </w:rPr>
          <w:fldChar w:fldCharType="end"/>
        </w:r>
      </w:hyperlink>
    </w:p>
    <w:p w:rsidR="00FD615E" w:rsidRPr="00BA795F" w:rsidRDefault="00FD615E" w:rsidP="00065DEA">
      <w:pPr>
        <w:bidi/>
        <w:jc w:val="both"/>
        <w:rPr>
          <w:rFonts w:ascii="IRBadr" w:hAnsi="IRBadr" w:cs="IRBadr"/>
          <w:b/>
          <w:bCs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fldChar w:fldCharType="end"/>
      </w:r>
    </w:p>
    <w:p w:rsidR="00FD615E" w:rsidRPr="00BA795F" w:rsidRDefault="004F684F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طبق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ک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 xml:space="preserve">تاب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تحریر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 xml:space="preserve"> الوس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ی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>له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مباحث حدود را پیگیری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بعد از حد قذف به حد مسکر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می‌رسیم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که فصل چهارم بحث حدود است. متن تحریر را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می‌خوانم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 وارد بحث در حد مسکر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می‌شویم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الفصل الرابع فی حد المسکر و النظر فی موجبه و کیفیته </w:t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و احکامه</w:t>
      </w:r>
      <w:r w:rsidR="00421DD6" w:rsidRPr="00BA795F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1"/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فصل چهارم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 xml:space="preserve">در مورد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حد مسکر است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مسئله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اول این است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640309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وجب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الحدّ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علی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من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تناول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المس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 أو الفقّاع و إن لم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ن مس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راً؛ بشرط أن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ون المتناول بالغاً عاقلًا مختاراً عالماً بالح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م و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الموضوع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، فلا حدّ عل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الصب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 المجنون و الم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ره و الجاهل بالح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 و الموضوع أو أحدهما؛ إذا أم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ن الجهل بالح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 ف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E2465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حقّه</w:t>
      </w:r>
      <w:r w:rsidR="00421DD6" w:rsidRPr="00BA795F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2"/>
      </w:r>
      <w:r w:rsidR="008E2465" w:rsidRPr="00BA795F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شروع اولین مسئله در باب حد مسکر است. که در حقیقت در این مسئله اصل وجوب حد و ثبوت حد را بر کسی که شرب مسکر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8E2465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ذکر کردند و بعد هم بحث فعال را مطرح کردند که منتقل مسکر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طبق فقه شیعی و شروط حد</w:t>
      </w:r>
      <w:r w:rsidR="008E2465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که بلوغ و عقل و اختیار و علم به حکم و موضوع است</w:t>
      </w:r>
      <w:r w:rsidR="008E2465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 ذکر کردند،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 این چند مطلبی است که در این مسئله مطرح شده است.</w:t>
      </w:r>
    </w:p>
    <w:p w:rsidR="008E2465" w:rsidRPr="00BA795F" w:rsidRDefault="008E2465" w:rsidP="00065DEA">
      <w:pPr>
        <w:pStyle w:val="1"/>
        <w:bidi/>
        <w:rPr>
          <w:rFonts w:ascii="IRBadr" w:hAnsi="IRBadr" w:cs="IRBadr"/>
          <w:color w:val="auto"/>
          <w:sz w:val="36"/>
          <w:szCs w:val="36"/>
          <w:rtl/>
        </w:rPr>
      </w:pPr>
      <w:bookmarkStart w:id="1" w:name="_Toc425554593"/>
      <w:r w:rsidRPr="00BA795F">
        <w:rPr>
          <w:rFonts w:ascii="IRBadr" w:hAnsi="IRBadr" w:cs="IRBadr"/>
          <w:color w:val="auto"/>
          <w:sz w:val="36"/>
          <w:szCs w:val="36"/>
          <w:rtl/>
        </w:rPr>
        <w:t>سه حکم کلی برای مسکر</w:t>
      </w:r>
      <w:bookmarkEnd w:id="1"/>
    </w:p>
    <w:p w:rsidR="00FD615E" w:rsidRPr="00BA795F" w:rsidRDefault="004F684F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مسکر در فقه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حداقل سه تا حکم کلی دارد که هر کدام در جایی مطرح شده است. یک حکم مسکر و مسکرات نجاست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آن‌هاست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مفصل در کتاب الطهاره بحث شده است. حکم دیگر مسکرات حرمت ش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>رب آن است و اینکه شربش حرام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و حکم سوم مسکرات،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ثبوت حد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 برای کسی که مسکری را تناول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بحث نجاست مسکر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در باب طهارت بحث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 اینجا محل کلام نیست. بحث تکلیفی شرب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 مسکر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هم اینجا مورد بحث قرار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نمی‌گیرد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17925" w:rsidRPr="00BA795F" w:rsidRDefault="00D17925" w:rsidP="00065DEA">
      <w:pPr>
        <w:pStyle w:val="2"/>
        <w:bidi/>
        <w:rPr>
          <w:rFonts w:ascii="IRBadr" w:hAnsi="IRBadr" w:cs="IRBadr"/>
          <w:color w:val="auto"/>
          <w:sz w:val="32"/>
          <w:szCs w:val="32"/>
          <w:rtl/>
        </w:rPr>
      </w:pPr>
      <w:bookmarkStart w:id="2" w:name="_Toc425554594"/>
      <w:r w:rsidRPr="00BA795F">
        <w:rPr>
          <w:rFonts w:ascii="IRBadr" w:hAnsi="IRBadr" w:cs="IRBadr"/>
          <w:color w:val="auto"/>
          <w:sz w:val="32"/>
          <w:szCs w:val="32"/>
          <w:rtl/>
        </w:rPr>
        <w:t>نسبت بین نجاست و حرمت شرب مسکرات</w:t>
      </w:r>
      <w:bookmarkEnd w:id="2"/>
    </w:p>
    <w:p w:rsidR="00FD615E" w:rsidRPr="00BA795F" w:rsidRDefault="00D17925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گرچه معمولاً این سه حکم ملازم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هم دیگر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هستند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بخصوص حکم حرمت شرب و ثبوت حد.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کاملاً با هم تلازم دارند و حتی اگر ما دلیلی مستقل بر حرمت شرب و تناول نداشتیم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باز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می‌گفتیم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 شربش حرام است چون وقتی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شریعت حدی برای چیزی ثابت بشود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به دلالت التزامی و اقتضایی افاده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شربش هم حرام است. بنابراین نجاستش را اثبات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. ولی حرمت شربش را اثبات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اگر کسی بگوید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نجس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تبعاً حرمت شربش را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می‌پذیریم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. ولی هر حرمت شربی با نجاست ملازم نیست. نسبت بین آن دو حکم یک طرفه است. هر نجسی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>، حرام است ولی هر حرمت شربی، نجس نیست.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و لذا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اگر کسی گفت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نجس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تبعاً حرمت اکل 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شربش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ثابت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D4ACD" w:rsidRPr="00BA795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دلیل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نمی‌خواهد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. اما ممکن است چیزی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 xml:space="preserve"> شربش یا اکلش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حرام باشد ولی نجس نباشد. بعضی خبائث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است. این نسبت بین نجاست و حرمت اکل و شرب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اصولاً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یک طرفه است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دو طرفه نیست. از آن طرف ملازمه است. کل نجس یحرم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آکله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بشرب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ولی 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>کلما یحرم آکله بشرب فهو لم یکن نجساً.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قاعده ثابت نیست. و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ال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>ّ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ا 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>وقتی که ادله شرب و نجاست مسکر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آمد</w:t>
      </w:r>
      <w:r w:rsidR="00404B69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دلیل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اکلش هم حرام است.</w:t>
      </w:r>
    </w:p>
    <w:p w:rsidR="00D17925" w:rsidRPr="00BA795F" w:rsidRDefault="00D17925" w:rsidP="00065DEA">
      <w:pPr>
        <w:pStyle w:val="2"/>
        <w:bidi/>
        <w:rPr>
          <w:rFonts w:ascii="IRBadr" w:hAnsi="IRBadr" w:cs="IRBadr"/>
          <w:color w:val="auto"/>
          <w:sz w:val="32"/>
          <w:szCs w:val="32"/>
          <w:rtl/>
        </w:rPr>
      </w:pPr>
      <w:bookmarkStart w:id="3" w:name="_Toc425554595"/>
      <w:r w:rsidRPr="00BA795F">
        <w:rPr>
          <w:rFonts w:ascii="IRBadr" w:hAnsi="IRBadr" w:cs="IRBadr"/>
          <w:color w:val="auto"/>
          <w:sz w:val="32"/>
          <w:szCs w:val="32"/>
          <w:rtl/>
        </w:rPr>
        <w:lastRenderedPageBreak/>
        <w:t>نسبت بین حرمت اکل و حد</w:t>
      </w:r>
      <w:bookmarkEnd w:id="3"/>
    </w:p>
    <w:p w:rsidR="00FD615E" w:rsidRPr="00BA795F" w:rsidRDefault="000257CE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اما نسبت بین حرمت اکل و حد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اینجا باز یک طرف قاعده کلیت دارد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>یک طرف ندارد. منتها اینجا از این طرف است که هر چیزی که حدی در شریعت برای او قرار داده شده باشد آن فعل حرام است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و لذا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حد برای شرب خمر ثابت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دلالت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4F684F" w:rsidRPr="00BA795F">
        <w:rPr>
          <w:rFonts w:ascii="IRBadr" w:hAnsi="IRBadr" w:cs="IRBadr"/>
          <w:sz w:val="28"/>
          <w:szCs w:val="28"/>
          <w:rtl/>
          <w:lang w:bidi="fa-IR"/>
        </w:rPr>
        <w:t xml:space="preserve"> بر اینکه اکل و شربش حرام است. 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>ولی</w:t>
      </w:r>
      <w:r w:rsidR="00117911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 xml:space="preserve"> نیست که </w:t>
      </w:r>
      <w:r w:rsidR="00117911" w:rsidRPr="00BA795F">
        <w:rPr>
          <w:rFonts w:ascii="IRBadr" w:hAnsi="IRBadr" w:cs="IRBadr"/>
          <w:sz w:val="28"/>
          <w:szCs w:val="28"/>
          <w:rtl/>
          <w:lang w:bidi="fa-IR"/>
        </w:rPr>
        <w:t>هر چیزی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117911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 xml:space="preserve">خوردنش </w:t>
      </w:r>
      <w:r w:rsidR="00117911" w:rsidRPr="00BA795F">
        <w:rPr>
          <w:rFonts w:ascii="IRBadr" w:hAnsi="IRBadr" w:cs="IRBadr"/>
          <w:sz w:val="28"/>
          <w:szCs w:val="28"/>
          <w:rtl/>
          <w:lang w:bidi="fa-IR"/>
        </w:rPr>
        <w:t>حرام باشد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 xml:space="preserve">لزوماً </w:t>
      </w:r>
      <w:r w:rsidR="00117911" w:rsidRPr="00BA795F">
        <w:rPr>
          <w:rFonts w:ascii="IRBadr" w:hAnsi="IRBadr" w:cs="IRBadr"/>
          <w:sz w:val="28"/>
          <w:szCs w:val="28"/>
          <w:rtl/>
          <w:lang w:bidi="fa-IR"/>
        </w:rPr>
        <w:t>حد داشته باشد. بله اگر قاعده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 به صورت</w:t>
      </w:r>
      <w:r w:rsidR="00117911" w:rsidRPr="00BA795F">
        <w:rPr>
          <w:rFonts w:ascii="IRBadr" w:hAnsi="IRBadr" w:cs="IRBadr"/>
          <w:sz w:val="28"/>
          <w:szCs w:val="28"/>
          <w:rtl/>
          <w:lang w:bidi="fa-IR"/>
        </w:rPr>
        <w:t xml:space="preserve"> کلی بگیریم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117911" w:rsidRPr="00BA795F">
        <w:rPr>
          <w:rFonts w:ascii="IRBadr" w:hAnsi="IRBadr" w:cs="IRBadr"/>
          <w:sz w:val="28"/>
          <w:szCs w:val="28"/>
          <w:rtl/>
          <w:lang w:bidi="fa-IR"/>
        </w:rPr>
        <w:t xml:space="preserve">ممکن است 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>قائل به تعزیر شویم و بگوییم: حد در محرماتی است که از نوع کبائر باشند یا حتی شاید بگوییم: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17925" w:rsidRPr="00BA795F">
        <w:rPr>
          <w:rFonts w:ascii="IRBadr" w:hAnsi="IRBadr" w:cs="IRBadr"/>
          <w:sz w:val="28"/>
          <w:szCs w:val="28"/>
          <w:rtl/>
          <w:lang w:bidi="fa-IR"/>
        </w:rPr>
        <w:t xml:space="preserve"> نوع خاصی از کبائر 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 xml:space="preserve">حد جاری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. در اینکه آیا حد در مطلق کبائر جاری است یا در نوع خاصی از کبائر،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حدود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هشت قول 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وجود دارد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. در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 xml:space="preserve"> مبحث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شرب خمر و تناول مسکر ما در خصوص حد حکم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دلیل داریم. البته در مورد حرمت تناول دلیل شاید کمتر باشد. ولی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نجاست را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می‌رساند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 xml:space="preserve"> و ادله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 xml:space="preserve"> متکثره و کثیره</w:t>
      </w:r>
      <w:r w:rsidR="005D0F09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ای که دلالت بر حد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دو دلیل قاعده کلی هم درست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. چون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نجس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نجس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 xml:space="preserve">اکلش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حرام است. این ادله فراوانی که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حد در مسکر ثابت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س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پس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حرام است. این در باب کلی مسکر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در سه جای فقه مطرح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 xml:space="preserve">و دو حکم از آن سه حکم، </w:t>
      </w:r>
      <w:r w:rsidR="00421DD6" w:rsidRPr="00BA795F">
        <w:rPr>
          <w:rFonts w:ascii="IRBadr" w:hAnsi="IRBadr" w:cs="IRBadr"/>
          <w:sz w:val="28"/>
          <w:szCs w:val="28"/>
          <w:rtl/>
          <w:lang w:bidi="fa-IR"/>
        </w:rPr>
        <w:t xml:space="preserve">یکی 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وضعی و یکی تکلیفی</w:t>
      </w:r>
      <w:r w:rsidR="00421DD6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2C1F27" w:rsidRPr="00BA795F" w:rsidRDefault="002C1F27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4" w:name="_Toc425554596"/>
      <w:r w:rsidRPr="00BA795F">
        <w:rPr>
          <w:rFonts w:ascii="IRBadr" w:hAnsi="IRBadr" w:cs="IRBadr"/>
          <w:color w:val="auto"/>
          <w:sz w:val="28"/>
          <w:szCs w:val="28"/>
          <w:rtl/>
        </w:rPr>
        <w:t>چند مطلب:</w:t>
      </w:r>
      <w:bookmarkEnd w:id="4"/>
    </w:p>
    <w:p w:rsidR="00FD615E" w:rsidRPr="00BA795F" w:rsidRDefault="00BB2D35" w:rsidP="00065DEA">
      <w:pPr>
        <w:pStyle w:val="aa"/>
        <w:numPr>
          <w:ilvl w:val="0"/>
          <w:numId w:val="1"/>
        </w:numPr>
        <w:bidi/>
        <w:ind w:left="0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تعبیری که در این مسئله آمده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است که </w:t>
      </w:r>
      <w:r w:rsidR="00421DD6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وجب الحد علی من تناول المسکر</w:t>
      </w:r>
      <w:r w:rsidR="00421DD6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چرا اینجا تعبیر 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تناول کردند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>؟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روایات ابواب</w:t>
      </w:r>
      <w:r w:rsidR="002C1F27" w:rsidRPr="00BA795F">
        <w:rPr>
          <w:rFonts w:ascii="IRBadr" w:hAnsi="IRBadr" w:cs="IRBadr"/>
          <w:sz w:val="28"/>
          <w:szCs w:val="28"/>
          <w:rtl/>
          <w:lang w:bidi="fa-IR"/>
        </w:rPr>
        <w:t xml:space="preserve"> حد مسکر یا ابواب اطعمه و اشربه،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معمولاً تعبیر شرب مسکر </w:t>
      </w:r>
      <w:r w:rsidR="00404D73" w:rsidRPr="00BA795F">
        <w:rPr>
          <w:rFonts w:ascii="IRBadr" w:hAnsi="IRBadr" w:cs="IRBadr"/>
          <w:sz w:val="28"/>
          <w:szCs w:val="28"/>
          <w:rtl/>
          <w:lang w:bidi="fa-IR"/>
        </w:rPr>
        <w:t>آمده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ولی در فقه</w:t>
      </w:r>
      <w:r w:rsidR="00404D73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04D73" w:rsidRPr="00BA795F">
        <w:rPr>
          <w:rFonts w:ascii="IRBadr" w:hAnsi="IRBadr" w:cs="IRBadr"/>
          <w:sz w:val="28"/>
          <w:szCs w:val="28"/>
          <w:rtl/>
          <w:lang w:bidi="fa-IR"/>
        </w:rPr>
        <w:t>تعبیر بسیاری از فقها</w:t>
      </w:r>
      <w:r w:rsidR="001844B7" w:rsidRPr="00BA795F">
        <w:rPr>
          <w:rFonts w:ascii="IRBadr" w:hAnsi="IRBadr" w:cs="IRBadr"/>
          <w:sz w:val="28"/>
          <w:szCs w:val="28"/>
          <w:rtl/>
          <w:lang w:bidi="fa-IR"/>
        </w:rPr>
        <w:t xml:space="preserve"> تناول مسکر است</w:t>
      </w:r>
      <w:r w:rsidR="00404D73" w:rsidRPr="00BA795F">
        <w:rPr>
          <w:rFonts w:ascii="IRBadr" w:hAnsi="IRBadr" w:cs="IRBadr"/>
          <w:sz w:val="28"/>
          <w:szCs w:val="28"/>
          <w:rtl/>
          <w:lang w:bidi="fa-IR"/>
        </w:rPr>
        <w:t xml:space="preserve"> به این علت که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اصطلاح در عربی</w:t>
      </w:r>
      <w:r w:rsidR="00404D73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شرب به مایعات تعلق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می‌گیرد</w:t>
      </w:r>
      <w:r w:rsidR="00404D73" w:rsidRPr="00BA795F">
        <w:rPr>
          <w:rFonts w:ascii="IRBadr" w:hAnsi="IRBadr" w:cs="IRBadr"/>
          <w:sz w:val="28"/>
          <w:szCs w:val="28"/>
          <w:rtl/>
          <w:lang w:bidi="fa-IR"/>
        </w:rPr>
        <w:t>. شرب جایی است که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مایعی بلعیده بشود و وارد حلق بشود و وارد ج</w:t>
      </w:r>
      <w:r w:rsidR="00404D73" w:rsidRPr="00BA795F">
        <w:rPr>
          <w:rFonts w:ascii="IRBadr" w:hAnsi="IRBadr" w:cs="IRBadr"/>
          <w:sz w:val="28"/>
          <w:szCs w:val="28"/>
          <w:rtl/>
          <w:lang w:bidi="fa-IR"/>
        </w:rPr>
        <w:t xml:space="preserve">وف بشود. در مقابل اکل است.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در روایات تعبیر شرب</w:t>
      </w:r>
      <w:r w:rsidR="00404D73" w:rsidRPr="00BA795F">
        <w:rPr>
          <w:rFonts w:ascii="IRBadr" w:hAnsi="IRBadr" w:cs="IRBadr"/>
          <w:sz w:val="28"/>
          <w:szCs w:val="28"/>
          <w:rtl/>
          <w:lang w:bidi="fa-IR"/>
        </w:rPr>
        <w:t xml:space="preserve"> آمده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404D73" w:rsidRPr="00BA795F" w:rsidRDefault="00DB3B31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5" w:name="_Toc425554597"/>
      <w:r w:rsidRPr="00BA795F">
        <w:rPr>
          <w:rFonts w:ascii="IRBadr" w:hAnsi="IRBadr" w:cs="IRBadr"/>
          <w:color w:val="auto"/>
          <w:sz w:val="28"/>
          <w:szCs w:val="28"/>
          <w:rtl/>
        </w:rPr>
        <w:t>القای خصوصیت از شرب</w:t>
      </w:r>
      <w:bookmarkEnd w:id="5"/>
    </w:p>
    <w:p w:rsidR="00FD615E" w:rsidRPr="00BA795F" w:rsidRDefault="00E27D2E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اگر کسی بیاید خمر را به صو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رت یک ماده جامد، مثل کپسول درآورد و بخورد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به صورتی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همان خاصیت را دارد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یا به صورت ساندویچی درست کرده که یکی از مواد خلیف و مزیج آن خمر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مسکر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؛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کار در غرب مرسوم و متداول است.</w:t>
      </w:r>
      <w:r w:rsidR="00421DD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فقها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نظرشان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شرب ولو لغتاً ظهور در بلع ماده مایع دارد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اما قطعاً القای خصوصیت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و تنقیح مناط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. اینکه مسکری </w:t>
      </w:r>
      <w:r w:rsidR="00467529" w:rsidRPr="00BA795F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به صورت مایع بیاشامد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خصوصیتی ندارد. قطعاً عرف القای خصوصیت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و اگر این به شکل جامد </w:t>
      </w:r>
      <w:r w:rsidR="00467529" w:rsidRPr="00BA795F">
        <w:rPr>
          <w:rFonts w:ascii="IRBadr" w:hAnsi="IRBadr" w:cs="IRBadr"/>
          <w:sz w:val="28"/>
          <w:szCs w:val="28"/>
          <w:rtl/>
          <w:lang w:bidi="fa-IR"/>
        </w:rPr>
        <w:t xml:space="preserve">باشد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که اکل بر آن صادق بشود یا مزیج در یک طعامی باشد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چون قطعاً همان خاصیت را دارد</w:t>
      </w:r>
      <w:r w:rsidR="00467529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همان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ویژگی‌ها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 دارد و </w:t>
      </w:r>
      <w:r w:rsidR="00467529" w:rsidRPr="00BA795F">
        <w:rPr>
          <w:rFonts w:ascii="IRBadr" w:hAnsi="IRBadr" w:cs="IRBadr"/>
          <w:sz w:val="28"/>
          <w:szCs w:val="28"/>
          <w:rtl/>
          <w:lang w:bidi="fa-IR"/>
        </w:rPr>
        <w:t>ا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گرچه در روایات تعبیر شرب آمده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اما چون در مقام استنباط به خاطر القای خصوصیت از ویژگی شرب و اینکه حکم </w:t>
      </w:r>
      <w:r w:rsidR="00467529" w:rsidRPr="00BA795F">
        <w:rPr>
          <w:rFonts w:ascii="IRBadr" w:hAnsi="IRBadr" w:cs="IRBadr"/>
          <w:sz w:val="28"/>
          <w:szCs w:val="28"/>
          <w:rtl/>
          <w:lang w:bidi="fa-IR"/>
        </w:rPr>
        <w:t>در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 نجاست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حرمت</w:t>
      </w:r>
      <w:r w:rsidR="00467529" w:rsidRPr="00BA795F">
        <w:rPr>
          <w:rFonts w:ascii="IRBadr" w:hAnsi="IRBadr" w:cs="IRBadr"/>
          <w:sz w:val="28"/>
          <w:szCs w:val="28"/>
          <w:rtl/>
          <w:lang w:bidi="fa-IR"/>
        </w:rPr>
        <w:t xml:space="preserve"> و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حد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بدون تردید</w:t>
      </w:r>
      <w:r w:rsidR="00467529" w:rsidRPr="00BA795F">
        <w:rPr>
          <w:rFonts w:ascii="IRBadr" w:hAnsi="IRBadr" w:cs="IRBadr"/>
          <w:sz w:val="28"/>
          <w:szCs w:val="28"/>
          <w:rtl/>
          <w:lang w:bidi="fa-IR"/>
        </w:rPr>
        <w:t xml:space="preserve"> شامل مسکر در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حالت جامد </w:t>
      </w:r>
      <w:r w:rsidR="00467529" w:rsidRPr="00BA795F">
        <w:rPr>
          <w:rFonts w:ascii="IRBadr" w:hAnsi="IRBadr" w:cs="IRBadr"/>
          <w:sz w:val="28"/>
          <w:szCs w:val="28"/>
          <w:rtl/>
          <w:lang w:bidi="fa-IR"/>
        </w:rPr>
        <w:t xml:space="preserve">و مزیج یک طعامی 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BB2D35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B3B31" w:rsidRPr="00BA795F" w:rsidRDefault="00DB3B31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6" w:name="_Toc425554598"/>
      <w:r w:rsidRPr="00BA795F">
        <w:rPr>
          <w:rFonts w:ascii="IRBadr" w:hAnsi="IRBadr" w:cs="IRBadr"/>
          <w:color w:val="auto"/>
          <w:sz w:val="28"/>
          <w:szCs w:val="28"/>
          <w:rtl/>
        </w:rPr>
        <w:lastRenderedPageBreak/>
        <w:t>تبدیل تعبیر شرب به تناول</w:t>
      </w:r>
      <w:bookmarkEnd w:id="6"/>
    </w:p>
    <w:p w:rsidR="00FD615E" w:rsidRPr="00BA795F" w:rsidRDefault="00BB2D35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 لذا 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گاهی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در فقه تعبیر شرب را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می‌آورند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ولی خیلی 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>اوقات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تعبیر شرب را برداشتند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تعبیر تناول 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را جایگزینش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="00DB3B31"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با القای خصوصیت و تنقیح مناط،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فقها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تعبیر عامی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آورده‌اند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عبارت است از 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>((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تناول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>))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. که تناول هر دو را 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 در فا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>رسی کلمه ((خوردن))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گاهی معنای مقابل شرب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ولی گاهی خوردن معنای عام دارد که هر دو را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برمی‌گیرد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. در عربی هم اکل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شاید بعضی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 از اوقات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حالت را داشته باشد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 البته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احتمالاً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 کمتر است. پس گفتیم: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در عربی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واژه‌ای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شامل هر دوی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F41B37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تناول است. و لذا اینجا</w:t>
      </w:r>
      <w:r w:rsidR="00421DD6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تناول اطلاق شده برای اینکه شامل مواردی که شرب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و مایع نیست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بشود. سر فقهی آن هم</w:t>
      </w:r>
      <w:r w:rsidR="00DB3B31" w:rsidRPr="00BA795F">
        <w:rPr>
          <w:rFonts w:ascii="IRBadr" w:hAnsi="IRBadr" w:cs="IRBadr"/>
          <w:sz w:val="28"/>
          <w:szCs w:val="28"/>
          <w:rtl/>
          <w:lang w:bidi="fa-IR"/>
        </w:rPr>
        <w:t>ان القای خصوصیتی است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B3B31" w:rsidRPr="00BA795F" w:rsidRDefault="00DB3B31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7" w:name="_Toc425554599"/>
      <w:r w:rsidRPr="00BA795F">
        <w:rPr>
          <w:rFonts w:ascii="IRBadr" w:hAnsi="IRBadr" w:cs="IRBadr"/>
          <w:color w:val="auto"/>
          <w:sz w:val="28"/>
          <w:szCs w:val="28"/>
          <w:rtl/>
        </w:rPr>
        <w:t>مفهوم مسکر</w:t>
      </w:r>
      <w:bookmarkEnd w:id="7"/>
    </w:p>
    <w:p w:rsidR="00FD615E" w:rsidRPr="00BA795F" w:rsidRDefault="00421DD6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تعبیرات فراوانی در کلمات فقها یا بعضی از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وارد شده است </w:t>
      </w:r>
      <w:r w:rsidR="00DB3B31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پرداختن به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مهم نیست و لزومی ندارد.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مفهوم</w:t>
      </w:r>
      <w:r w:rsidR="00DB3B31" w:rsidRPr="00BA795F">
        <w:rPr>
          <w:rFonts w:ascii="IRBadr" w:hAnsi="IRBadr" w:cs="IRBadr"/>
          <w:sz w:val="28"/>
          <w:szCs w:val="28"/>
          <w:rtl/>
          <w:lang w:bidi="fa-IR"/>
        </w:rPr>
        <w:t xml:space="preserve"> عرفی و عقلایی مسکر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DB3B31" w:rsidRPr="00BA795F">
        <w:rPr>
          <w:rFonts w:ascii="IRBadr" w:hAnsi="IRBadr" w:cs="IRBadr"/>
          <w:sz w:val="28"/>
          <w:szCs w:val="28"/>
          <w:rtl/>
          <w:lang w:bidi="fa-IR"/>
        </w:rPr>
        <w:t xml:space="preserve"> همان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مفهوم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مست‌کنندگی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آقای فاضل هم در </w:t>
      </w:r>
      <w:r w:rsidR="00DB3B31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مطلب همین را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و چندان نیاز به بحث ندارد.</w:t>
      </w:r>
    </w:p>
    <w:p w:rsidR="00DB3B31" w:rsidRPr="00BA795F" w:rsidRDefault="00DB3B31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8" w:name="_Toc425554600"/>
      <w:r w:rsidRPr="00BA795F">
        <w:rPr>
          <w:rFonts w:ascii="IRBadr" w:hAnsi="IRBadr" w:cs="IRBadr"/>
          <w:color w:val="auto"/>
          <w:sz w:val="28"/>
          <w:szCs w:val="28"/>
          <w:rtl/>
        </w:rPr>
        <w:t xml:space="preserve">عدم شمول </w:t>
      </w:r>
      <w:r w:rsidR="002B4ABC" w:rsidRPr="00BA795F">
        <w:rPr>
          <w:rFonts w:ascii="IRBadr" w:hAnsi="IRBadr" w:cs="IRBadr"/>
          <w:color w:val="auto"/>
          <w:sz w:val="28"/>
          <w:szCs w:val="28"/>
          <w:rtl/>
        </w:rPr>
        <w:t>قرص‌های</w:t>
      </w:r>
      <w:r w:rsidRPr="00BA795F">
        <w:rPr>
          <w:rFonts w:ascii="IRBadr" w:hAnsi="IRBadr" w:cs="IRBadr"/>
          <w:color w:val="auto"/>
          <w:sz w:val="28"/>
          <w:szCs w:val="28"/>
          <w:rtl/>
        </w:rPr>
        <w:t xml:space="preserve"> </w:t>
      </w:r>
      <w:r w:rsidR="005D0F09">
        <w:rPr>
          <w:rFonts w:ascii="IRBadr" w:hAnsi="IRBadr" w:cs="IRBadr"/>
          <w:color w:val="auto"/>
          <w:sz w:val="28"/>
          <w:szCs w:val="28"/>
          <w:rtl/>
        </w:rPr>
        <w:t>خواب‌آور</w:t>
      </w:r>
      <w:r w:rsidRPr="00BA795F">
        <w:rPr>
          <w:rFonts w:ascii="IRBadr" w:hAnsi="IRBadr" w:cs="IRBadr"/>
          <w:color w:val="auto"/>
          <w:sz w:val="28"/>
          <w:szCs w:val="28"/>
          <w:rtl/>
        </w:rPr>
        <w:t xml:space="preserve"> و </w:t>
      </w:r>
      <w:r w:rsidR="005D0F09">
        <w:rPr>
          <w:rFonts w:ascii="IRBadr" w:hAnsi="IRBadr" w:cs="IRBadr"/>
          <w:color w:val="auto"/>
          <w:sz w:val="28"/>
          <w:szCs w:val="28"/>
          <w:rtl/>
        </w:rPr>
        <w:t>نشاط‌آور</w:t>
      </w:r>
      <w:bookmarkEnd w:id="8"/>
    </w:p>
    <w:p w:rsidR="00FD615E" w:rsidRPr="00BA795F" w:rsidRDefault="00DB3B31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قطعاً مسکر شامل قرص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خواب‌آور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یا چیزهایی که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نشاط‌آور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. چیزهایی که ح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الت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خواب‌آور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ی یا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نشاط‌بخش</w:t>
      </w:r>
      <w:r w:rsidR="000D50EE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دارد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ولو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نشاط‌های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موزون و کاذب در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هست،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لکن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باعث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مشمول عنوان مسکر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. مسکر یک حالت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مست‌کنندگی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 که در حقیقت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>عامل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زوال عقل است. و اینکه چیزی 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>بخوری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خواب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>ت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ببرد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قطعاً حالت 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>ا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سک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>ا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ر ندار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 xml:space="preserve">د. ماده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خواب‌آور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بی‌هوش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 xml:space="preserve"> کننده،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مسکر نیست. 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 xml:space="preserve">اسکار،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زوال عقل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خواب هم نیست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علی‌الظاهر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نشاط‌آور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 xml:space="preserve">ها هم،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همین‌طور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ولو نشاط زیادی به او دست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می‌دهد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ولی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به‌هرحال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عقلش را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به‌طورکلی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زایل</w:t>
      </w:r>
      <w:r w:rsidR="00B81F5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C550C5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550C5" w:rsidRPr="00BA795F" w:rsidRDefault="00C550C5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9" w:name="_Toc425554601"/>
      <w:r w:rsidRPr="00BA795F">
        <w:rPr>
          <w:rFonts w:ascii="IRBadr" w:hAnsi="IRBadr" w:cs="IRBadr"/>
          <w:color w:val="auto"/>
          <w:sz w:val="28"/>
          <w:szCs w:val="28"/>
          <w:rtl/>
        </w:rPr>
        <w:t>القاء خصوصیت از مسکر</w:t>
      </w:r>
      <w:bookmarkEnd w:id="9"/>
    </w:p>
    <w:p w:rsidR="00C550C5" w:rsidRPr="00BA795F" w:rsidRDefault="00B81F54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حال مطلبی که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اینجا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هست این است که آیا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می‌توانیم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توسط القاء خصوصیت از مسکر، کلمه مسکر را شامل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حالت نشاط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که از خوردن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نشاط‌آور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به دست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بدانیم یا خیر؟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یک مقدار فکر کنیم و اقوال ببینیم.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آقای فاضل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شامل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این‌ها</w:t>
      </w:r>
      <w:r w:rsidR="000D50E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نکته‌ای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در ورود </w:t>
      </w:r>
      <w:r w:rsidR="00C550C5" w:rsidRPr="00BA795F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بحث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می‌خواستیم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روی آن تأکید کنیم این است که هر چیزی که موجب این بشود که انسان خواب برود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بی‌هوش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بشود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و یک نوعی از حالت نرمالی و عدم تعادل</w:t>
      </w:r>
      <w:r w:rsidR="00C550C5" w:rsidRPr="00BA795F">
        <w:rPr>
          <w:rFonts w:ascii="IRBadr" w:hAnsi="IRBadr" w:cs="IRBadr"/>
          <w:sz w:val="28"/>
          <w:szCs w:val="28"/>
          <w:rtl/>
          <w:lang w:bidi="fa-IR"/>
        </w:rPr>
        <w:t xml:space="preserve"> بیرون برود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هر امر</w:t>
      </w:r>
      <w:r w:rsidR="00C550C5" w:rsidRPr="00BA795F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550C5" w:rsidRPr="00BA795F">
        <w:rPr>
          <w:rFonts w:ascii="IRBadr" w:hAnsi="IRBadr" w:cs="IRBadr"/>
          <w:sz w:val="28"/>
          <w:szCs w:val="28"/>
          <w:rtl/>
          <w:lang w:bidi="fa-IR"/>
        </w:rPr>
        <w:t>این صورت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 مسکر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نمی‌گویند</w:t>
      </w:r>
      <w:r w:rsidR="00FE28A4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C550C5" w:rsidRPr="00BA795F" w:rsidRDefault="00C550C5" w:rsidP="00065DEA">
      <w:pPr>
        <w:pStyle w:val="aa"/>
        <w:numPr>
          <w:ilvl w:val="0"/>
          <w:numId w:val="1"/>
        </w:numPr>
        <w:bidi/>
        <w:ind w:left="0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lastRenderedPageBreak/>
        <w:t>مطلب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دوم این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مسکر در اینجا مطلق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زوال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حواس نیست. یک چیز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دیگر هم این است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عرفاً به آن صدق مست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کند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. و لذا این عنوان شامل همه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زوال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حواس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. اما اینکه بشود القای خصوصیت کرد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9762A9" w:rsidRPr="00BA795F" w:rsidRDefault="00C550C5" w:rsidP="00065DEA">
      <w:pPr>
        <w:pStyle w:val="aa"/>
        <w:numPr>
          <w:ilvl w:val="0"/>
          <w:numId w:val="1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مطلب سوم این است، که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روایات گاهی تعبیر خمر دارد</w:t>
      </w:r>
      <w:r w:rsidR="000B328E" w:rsidRPr="00BA795F">
        <w:rPr>
          <w:rFonts w:ascii="IRBadr" w:hAnsi="IRBadr" w:cs="IRBadr"/>
          <w:sz w:val="28"/>
          <w:szCs w:val="28"/>
          <w:rtl/>
          <w:lang w:bidi="fa-IR"/>
        </w:rPr>
        <w:t xml:space="preserve"> و گاهی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تعبیر مسکر دارد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یا اینکه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="000B328E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لا تشرب الخمر لانه مسکر</w:t>
      </w:r>
      <w:r w:rsidR="000B328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و لذاست که در فقه </w:t>
      </w:r>
      <w:r w:rsidR="000B328E" w:rsidRPr="00BA795F">
        <w:rPr>
          <w:rFonts w:ascii="IRBadr" w:hAnsi="IRBadr" w:cs="IRBadr"/>
          <w:sz w:val="28"/>
          <w:szCs w:val="28"/>
          <w:rtl/>
          <w:lang w:bidi="fa-IR"/>
        </w:rPr>
        <w:t xml:space="preserve">گاهی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تعبیر خمر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ولی حکم منوط به عنوان مسکر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نه خصوص خمر ولو اینکه در بعضی روایات </w:t>
      </w:r>
      <w:r w:rsidR="000B328E" w:rsidRPr="00BA795F">
        <w:rPr>
          <w:rFonts w:ascii="IRBadr" w:hAnsi="IRBadr" w:cs="IRBadr"/>
          <w:sz w:val="28"/>
          <w:szCs w:val="28"/>
          <w:rtl/>
          <w:lang w:bidi="fa-IR"/>
        </w:rPr>
        <w:t xml:space="preserve">لفظ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خمر آمده است. ولی کل مسکر</w:t>
      </w:r>
      <w:r w:rsidR="000B328E" w:rsidRPr="00BA795F">
        <w:rPr>
          <w:rFonts w:ascii="IRBadr" w:hAnsi="IRBadr" w:cs="IRBadr"/>
          <w:sz w:val="28"/>
          <w:szCs w:val="28"/>
          <w:rtl/>
          <w:lang w:bidi="fa-IR"/>
        </w:rPr>
        <w:t>ات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</w:t>
      </w:r>
      <w:r w:rsidR="000B328E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باب</w:t>
      </w:r>
      <w:r w:rsidR="000B328E" w:rsidRPr="00BA795F">
        <w:rPr>
          <w:rFonts w:ascii="IRBadr" w:hAnsi="IRBadr" w:cs="IRBadr"/>
          <w:sz w:val="28"/>
          <w:szCs w:val="28"/>
          <w:rtl/>
          <w:lang w:bidi="fa-IR"/>
        </w:rPr>
        <w:t>، موضوع است.</w:t>
      </w:r>
    </w:p>
    <w:p w:rsidR="00FD615E" w:rsidRPr="00BA795F" w:rsidRDefault="000B328E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مورد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فقاع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هم بحث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مسکر هم نباشد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باز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حکم برایش ثابت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است. در مورد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آیا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مست‌کنندگی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بالفعل لازم است یا اینکه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قابلیت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شأنیت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مست‌کنندگی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کافی است، بعد بحث می‌کنیم و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مسائل بعد به آن خواهیم پرداخت. در باب فقاع عنوان خاص دارد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که (</w:t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و</w:t>
      </w:r>
      <w:r w:rsidR="003E61A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لو لم یکن مسکراً</w:t>
      </w:r>
      <w:r w:rsidR="00421DD6" w:rsidRPr="00BA795F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3"/>
      </w:r>
      <w:r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اما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آیا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در باب خمر هم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چنین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چیزی هست یا نیست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اینکه آیا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مسکریت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مسکریت فعلی است یا شأنی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9762A9" w:rsidRPr="00BA795F">
        <w:rPr>
          <w:rFonts w:ascii="IRBadr" w:hAnsi="IRBadr" w:cs="IRBadr"/>
          <w:sz w:val="28"/>
          <w:szCs w:val="28"/>
          <w:rtl/>
          <w:lang w:bidi="fa-IR"/>
        </w:rPr>
        <w:t xml:space="preserve"> بعداً بحث می‌کنیم.</w:t>
      </w:r>
    </w:p>
    <w:p w:rsidR="009762A9" w:rsidRPr="00BA795F" w:rsidRDefault="009762A9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10" w:name="_Toc425554602"/>
      <w:r w:rsidRPr="00BA795F">
        <w:rPr>
          <w:rFonts w:ascii="IRBadr" w:hAnsi="IRBadr" w:cs="IRBadr"/>
          <w:color w:val="auto"/>
          <w:sz w:val="28"/>
          <w:szCs w:val="28"/>
          <w:rtl/>
        </w:rPr>
        <w:t>مسئله مورد بحث</w:t>
      </w:r>
      <w:bookmarkEnd w:id="10"/>
    </w:p>
    <w:p w:rsidR="00FD615E" w:rsidRPr="00BA795F" w:rsidRDefault="009762A9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آنچه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در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اینجا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می‌خواهیم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بگوییم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است که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اجمالاً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عنوان مسکر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موضوع حکم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آیا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مسکریت فعلی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یا شأنی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؟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در روایت دارد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حتی کمش مثل یک قطره هم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حرام است و حد دارد.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درحالی‌که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آن قطره مست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نمی‌کند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. و لذا این مسکر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فقط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عنوان است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با توجه به آن چیزهایی که بعداً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مسکر ب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الشأن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از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مسائلی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امروز دنیای اسلام با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آن مواجه است،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همین بحث است که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امروزه دنیا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 xml:space="preserve"> به خصوص غرب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به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شکلی است که مسکر جزء زندگی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اصلاً امکان اینکه تفکیک بشود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در زندگی فردی نیست. سراسر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زندگی‌شان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آلوده به این مسئله است. 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 xml:space="preserve">حالا وارد این بحث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نمی‌شویم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3F77EC" w:rsidRPr="00BA795F" w:rsidRDefault="003F77EC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11" w:name="_Toc425554603"/>
      <w:r w:rsidRPr="00BA795F">
        <w:rPr>
          <w:rFonts w:ascii="IRBadr" w:hAnsi="IRBadr" w:cs="IRBadr"/>
          <w:color w:val="auto"/>
          <w:sz w:val="28"/>
          <w:szCs w:val="28"/>
          <w:rtl/>
        </w:rPr>
        <w:t>شرایط ثبوت حد</w:t>
      </w:r>
      <w:bookmarkEnd w:id="11"/>
    </w:p>
    <w:p w:rsidR="003F77EC" w:rsidRPr="00BA795F" w:rsidRDefault="003E61A6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لازم نیست که در هر یک از این شرایط مفصل وارد بحث بشویم. 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>چون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در بحث مطلق حدود و در حد زنا راجع هر یک از این فروع به عنوان کلی بحث کردیم. 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>حدود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پنج شرط در این مسئله برای ثبوت حد ذکر شده است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>. آن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چند شرط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عبارت‌اند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 xml:space="preserve"> از:</w:t>
      </w:r>
    </w:p>
    <w:p w:rsidR="003F77EC" w:rsidRPr="00BA795F" w:rsidRDefault="003E61A6" w:rsidP="00065DEA">
      <w:pPr>
        <w:pStyle w:val="aa"/>
        <w:numPr>
          <w:ilvl w:val="0"/>
          <w:numId w:val="2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بالغ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 xml:space="preserve"> بودن</w:t>
      </w:r>
    </w:p>
    <w:p w:rsidR="003F77EC" w:rsidRPr="00BA795F" w:rsidRDefault="003E61A6" w:rsidP="00065DEA">
      <w:pPr>
        <w:pStyle w:val="aa"/>
        <w:numPr>
          <w:ilvl w:val="0"/>
          <w:numId w:val="2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عاقل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 xml:space="preserve"> بودن</w:t>
      </w:r>
    </w:p>
    <w:p w:rsidR="003F77EC" w:rsidRPr="00BA795F" w:rsidRDefault="003E61A6" w:rsidP="00065DEA">
      <w:pPr>
        <w:pStyle w:val="aa"/>
        <w:numPr>
          <w:ilvl w:val="0"/>
          <w:numId w:val="2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اختیار</w:t>
      </w:r>
      <w:r w:rsidR="003F77EC" w:rsidRPr="00BA795F">
        <w:rPr>
          <w:rFonts w:ascii="IRBadr" w:hAnsi="IRBadr" w:cs="IRBadr"/>
          <w:sz w:val="28"/>
          <w:szCs w:val="28"/>
          <w:rtl/>
          <w:lang w:bidi="fa-IR"/>
        </w:rPr>
        <w:t xml:space="preserve"> داشتن</w:t>
      </w:r>
    </w:p>
    <w:p w:rsidR="00FD615E" w:rsidRPr="00BA795F" w:rsidRDefault="003E61A6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B329A1" w:rsidRPr="00BA795F">
        <w:rPr>
          <w:rFonts w:ascii="IRBadr" w:hAnsi="IRBadr" w:cs="IRBadr"/>
          <w:sz w:val="28"/>
          <w:szCs w:val="28"/>
          <w:rtl/>
          <w:lang w:bidi="fa-IR"/>
        </w:rPr>
        <w:t xml:space="preserve"> سه شرط را مفصل قبلاً بحث کردیم.</w:t>
      </w:r>
    </w:p>
    <w:p w:rsidR="00B329A1" w:rsidRPr="00BA795F" w:rsidRDefault="00B329A1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12" w:name="_Toc425554604"/>
      <w:r w:rsidRPr="00BA795F">
        <w:rPr>
          <w:rFonts w:ascii="IRBadr" w:hAnsi="IRBadr" w:cs="IRBadr"/>
          <w:color w:val="auto"/>
          <w:sz w:val="28"/>
          <w:szCs w:val="28"/>
          <w:rtl/>
        </w:rPr>
        <w:lastRenderedPageBreak/>
        <w:t>روایات این مبحث</w:t>
      </w:r>
      <w:bookmarkEnd w:id="12"/>
    </w:p>
    <w:p w:rsidR="000D50EE" w:rsidRDefault="00B329A1" w:rsidP="00065DEA">
      <w:pPr>
        <w:pStyle w:val="aa"/>
        <w:bidi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روایاتی در همین باب هشت ابواب مقدمات حدود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هست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لَا حَدَّ عَلَ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مَجْنُونٍ حَتَّ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فِ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قَ- وَ لَا عَلَ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صَبِ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حَتَّ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دْرِ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- وَ لَا عَلَ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النَّائِمِ حَتَّ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سْتَ</w:t>
      </w:r>
      <w:r w:rsidR="002B4ABC"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P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قِظَ</w:t>
      </w:r>
      <w:r w:rsidR="00762DA0" w:rsidRPr="00BA795F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4"/>
      </w:r>
      <w:r w:rsidR="000D50EE">
        <w:rPr>
          <w:rFonts w:ascii="IRBadr" w:hAnsi="IRBadr" w:cs="IRBadr"/>
          <w:sz w:val="28"/>
          <w:szCs w:val="28"/>
          <w:rtl/>
          <w:lang w:bidi="fa-IR"/>
        </w:rPr>
        <w:t>)</w:t>
      </w:r>
      <w:r w:rsidR="000D50EE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FD615E" w:rsidRPr="00BA795F" w:rsidRDefault="003E61A6" w:rsidP="000D50EE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این روایتی است که در این زمینه آمده است. بنابراین هم در باب بلوغ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B329A1" w:rsidRPr="00BA795F">
        <w:rPr>
          <w:rFonts w:ascii="IRBadr" w:hAnsi="IRBadr" w:cs="IRBadr"/>
          <w:sz w:val="28"/>
          <w:szCs w:val="28"/>
          <w:rtl/>
          <w:lang w:bidi="fa-IR"/>
        </w:rPr>
        <w:t xml:space="preserve"> غیر بالغ و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هم </w:t>
      </w:r>
      <w:r w:rsidR="00B329A1" w:rsidRPr="00BA795F">
        <w:rPr>
          <w:rFonts w:ascii="IRBadr" w:hAnsi="IRBadr" w:cs="IRBadr"/>
          <w:sz w:val="28"/>
          <w:szCs w:val="28"/>
          <w:rtl/>
          <w:lang w:bidi="fa-IR"/>
        </w:rPr>
        <w:t xml:space="preserve">در باب عقل،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مجنون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329A1" w:rsidRPr="00BA795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ه</w:t>
      </w:r>
      <w:r w:rsidR="00B329A1" w:rsidRPr="00BA795F">
        <w:rPr>
          <w:rFonts w:ascii="IRBadr" w:hAnsi="IRBadr" w:cs="IRBadr"/>
          <w:sz w:val="28"/>
          <w:szCs w:val="28"/>
          <w:rtl/>
          <w:lang w:bidi="fa-IR"/>
        </w:rPr>
        <w:t xml:space="preserve">م در باب اختیار،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مکره این حکم </w:t>
      </w:r>
      <w:r w:rsidR="00B329A1" w:rsidRPr="00BA795F">
        <w:rPr>
          <w:rFonts w:ascii="IRBadr" w:hAnsi="IRBadr" w:cs="IRBadr"/>
          <w:sz w:val="28"/>
          <w:szCs w:val="28"/>
          <w:rtl/>
          <w:lang w:bidi="fa-IR"/>
        </w:rPr>
        <w:t>را ندارد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 ادله مطلقی داریم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اطلاقاتی داریم که باب مسکر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هم شامل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این مطلقات را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سابق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>اً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با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هم بحث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>ش را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کردیم. مثلاً در باب اختیار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، درباره انواع اختیار، ادله‌اش و ...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بحث شد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بنابراین راجع به این سه شرط که بلوغ و عقل و اختیار باشد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اینجا بحثی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ادله‌اش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همان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 که سابق در باب زنا بحث کردیم. علتش این است که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در باب زنا برای اشتراک 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مجنون، صبی غیر بالغ و مکره در حکم، بحث شد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مورد تعرض قرار گرفت و ذکر شد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ادله‌ای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 هم هست که اختصاص به باب خاصی دارد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ولی بسیاری از آن ادله مطلق است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>، مثل: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لا علی حد مجنون حتی یعطی علی الصبی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یا 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رفع عن امتی </w:t>
      </w:r>
      <w:r w:rsidR="002339D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مضطرّ</w:t>
      </w:r>
      <w:r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علیه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) کسی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اضطرار پیدا کند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آن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 تکلیف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از آن برداشته شده است.</w:t>
      </w:r>
    </w:p>
    <w:p w:rsidR="00AC1AFE" w:rsidRPr="00BA795F" w:rsidRDefault="00AC1AFE" w:rsidP="00065DEA">
      <w:pPr>
        <w:pStyle w:val="2"/>
        <w:bidi/>
        <w:rPr>
          <w:rFonts w:ascii="IRBadr" w:hAnsi="IRBadr" w:cs="IRBadr"/>
          <w:color w:val="auto"/>
          <w:sz w:val="32"/>
          <w:szCs w:val="32"/>
          <w:rtl/>
        </w:rPr>
      </w:pPr>
      <w:bookmarkStart w:id="13" w:name="_Toc425554605"/>
      <w:r w:rsidRPr="00BA795F">
        <w:rPr>
          <w:rFonts w:ascii="IRBadr" w:hAnsi="IRBadr" w:cs="IRBadr"/>
          <w:color w:val="auto"/>
          <w:sz w:val="32"/>
          <w:szCs w:val="32"/>
          <w:rtl/>
        </w:rPr>
        <w:t>اختیار در مقابل اجبار، اکراه و اضطرار</w:t>
      </w:r>
      <w:bookmarkEnd w:id="13"/>
    </w:p>
    <w:p w:rsidR="00AC1AFE" w:rsidRPr="00BA795F" w:rsidRDefault="003E61A6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البته اینجا اختیاری 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می‌گوییم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هم در مقابل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اکراه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هم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مقابل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اجبار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هم</w:t>
      </w:r>
      <w:r w:rsidR="002339D2"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مقابل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اضطرار</w:t>
      </w:r>
      <w:r w:rsidR="00AC1AFE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AC1AFE" w:rsidRPr="00BA795F" w:rsidRDefault="00AC1AFE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14" w:name="_Toc425554606"/>
      <w:r w:rsidRPr="00BA795F">
        <w:rPr>
          <w:rFonts w:ascii="IRBadr" w:hAnsi="IRBadr" w:cs="IRBadr"/>
          <w:color w:val="auto"/>
          <w:sz w:val="28"/>
          <w:szCs w:val="28"/>
          <w:rtl/>
        </w:rPr>
        <w:t>سه نوع غیر مختار:</w:t>
      </w:r>
      <w:bookmarkEnd w:id="14"/>
    </w:p>
    <w:p w:rsidR="00AC1AFE" w:rsidRPr="00BA795F" w:rsidRDefault="00AC1AFE" w:rsidP="00065DEA">
      <w:pPr>
        <w:pStyle w:val="aa"/>
        <w:numPr>
          <w:ilvl w:val="0"/>
          <w:numId w:val="3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غیر مختار مجبور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به معنای اینکه کسانی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دست‌وپایش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 گرفتند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خمر را ریختند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حلقش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این مسلوب الاختیار است</w:t>
      </w:r>
    </w:p>
    <w:p w:rsidR="00AC1AFE" w:rsidRPr="00BA795F" w:rsidRDefault="00AC1AFE" w:rsidP="00065DEA">
      <w:pPr>
        <w:pStyle w:val="aa"/>
        <w:numPr>
          <w:ilvl w:val="0"/>
          <w:numId w:val="3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غیر مختار مکره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کسی است که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دست‌وپایش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 نگرفتند ولی تهدیدش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>اگر این کار را نکنی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دستت را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می‌بریم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تو را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می‌کشیم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مالت را از بین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می‌بریم</w:t>
      </w:r>
    </w:p>
    <w:p w:rsidR="00AC1AFE" w:rsidRPr="00BA795F" w:rsidRDefault="00AC1AFE" w:rsidP="00065DEA">
      <w:pPr>
        <w:pStyle w:val="aa"/>
        <w:numPr>
          <w:ilvl w:val="0"/>
          <w:numId w:val="3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غیر مختار مضطر،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مثل کسی که مریض است و برای سلامتش اضطرار دارد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به شرب خمر. این هم </w:t>
      </w:r>
      <w:r w:rsidR="003E61A6" w:rsidRPr="00BA795F">
        <w:rPr>
          <w:rFonts w:ascii="IRBadr" w:hAnsi="IRBadr" w:cs="IRBadr"/>
          <w:sz w:val="28"/>
          <w:szCs w:val="28"/>
          <w:rtl/>
          <w:lang w:bidi="fa-IR"/>
        </w:rPr>
        <w:t xml:space="preserve">جایز است و بنابراین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حدی هم ثابت نیست.</w:t>
      </w:r>
    </w:p>
    <w:p w:rsidR="004F0EF9" w:rsidRPr="00BA795F" w:rsidRDefault="009F78C9" w:rsidP="00065DEA">
      <w:pPr>
        <w:pStyle w:val="aa"/>
        <w:bidi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پس هم بلوغ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هم عقل </w:t>
      </w:r>
      <w:r w:rsidR="00AC1AFE" w:rsidRPr="00BA795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هم اختیار به معنای مقابل هر سه حالت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اجبار و اکراه و اضطرار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ادله‌اش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همان ادله مطلقی است که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رفع الامتی مضطر علیه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یا در باب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دیگری (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رفع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ال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قلم عن الصبی و المجنون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دو حدیثی که در فقه خیلی به آن تمسک می‌شود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حدیث رفع و حدیث رفع قلم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است. مقصود از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بالغ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صبی ممیز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و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غیر ممیز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هر دو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. مقصود از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عاقل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است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که در حال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 شرب باید عاقل باشد و مقصود از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مجنون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مجنون اطباقی 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ادواری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، هر دو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می‌باشد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D615E" w:rsidRPr="00BA795F" w:rsidRDefault="00D11B13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بعد از سه شرط: بلوغ، عقل و اختیار؛ نوبت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می‌رسد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به شرط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چهارم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علم به حکم و موضوع است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11B13" w:rsidRPr="00BA795F" w:rsidRDefault="00D11B13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15" w:name="_Toc425554607"/>
      <w:r w:rsidRPr="00BA795F">
        <w:rPr>
          <w:rFonts w:ascii="IRBadr" w:hAnsi="IRBadr" w:cs="IRBadr"/>
          <w:color w:val="auto"/>
          <w:sz w:val="28"/>
          <w:szCs w:val="28"/>
          <w:rtl/>
        </w:rPr>
        <w:t>علم به موضوع</w:t>
      </w:r>
      <w:bookmarkEnd w:id="15"/>
    </w:p>
    <w:p w:rsidR="00FD615E" w:rsidRPr="00BA795F" w:rsidRDefault="00D11B13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در مورد شرط بودن علم به موضوع بحثی نیست و مسلم است.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 علم به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موضوع معنایش این است که بداند این خمر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مسکر است. طبیعتاً اگر کسی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نمی‌داند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مسکر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و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می‌خورد</w:t>
      </w:r>
      <w:r w:rsidR="004F0EF9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کار حرامی را مرتکب نشده است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حدی هم بر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او ثابت نیست. این طبق قاعده است؛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زیرا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تنجز حکم متوقف بر این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که کسی بداند این خمر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وقتی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کسی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نمی‌داند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و جهل دارد، حکم منجز نشده و حکم جاری نیست. البته اگر جاهل به این موضوع،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علم اجمالی داشته باشد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دیگری دارد که در جای خودش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منقح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مثال برای کسی که علم اجمالی نداشته است،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کسی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وارد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مجلسی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شده و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آنجا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ظرفی بوده و تصور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کرده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آب است و آن را شرب کرد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ه است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. بعد معلوم شد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مایع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مسکر بوده است. این تکلیفی نداشته است. کار حرامی را انجام نداده است و ادله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شامل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این شخص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. به خاطر همان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رفع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عن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امتی ما لا یعلمون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این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شخص،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علم به موضوع که ندارد 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رفع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عن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امتی ما لا یعلمون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می‌آید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7D2F5D" w:rsidRPr="00BA795F">
        <w:rPr>
          <w:rFonts w:ascii="IRBadr" w:hAnsi="IRBadr" w:cs="IRBadr"/>
          <w:sz w:val="28"/>
          <w:szCs w:val="28"/>
          <w:rtl/>
          <w:lang w:bidi="fa-IR"/>
        </w:rPr>
        <w:t xml:space="preserve"> حکم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را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. این در جایی که علم اجمالی نداشته باشد. گاهی است علم اجمالی دارد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می‌داند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یکی از این دو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خمر است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>، حال در این صورت اگر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هر دو را بخورد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 علم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 xml:space="preserve"> به موضوع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داشته اما اگر یکی را بخورد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 xml:space="preserve">، علم به موضوع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ن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 xml:space="preserve">دارد.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 xml:space="preserve">پس در علم 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 xml:space="preserve">به </w:t>
      </w:r>
      <w:r w:rsidR="009F78C9" w:rsidRPr="00BA795F">
        <w:rPr>
          <w:rFonts w:ascii="IRBadr" w:hAnsi="IRBadr" w:cs="IRBadr"/>
          <w:sz w:val="28"/>
          <w:szCs w:val="28"/>
          <w:rtl/>
          <w:lang w:bidi="fa-IR"/>
        </w:rPr>
        <w:t>موضوع هم تردیدی نیست</w:t>
      </w:r>
      <w:r w:rsidR="00F34A46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D11B13" w:rsidRPr="00BA795F" w:rsidRDefault="00D11B13" w:rsidP="00065DEA">
      <w:pPr>
        <w:pStyle w:val="3"/>
        <w:bidi/>
        <w:rPr>
          <w:rFonts w:ascii="IRBadr" w:hAnsi="IRBadr" w:cs="IRBadr"/>
          <w:color w:val="auto"/>
          <w:sz w:val="28"/>
          <w:szCs w:val="28"/>
          <w:rtl/>
        </w:rPr>
      </w:pPr>
      <w:bookmarkStart w:id="16" w:name="_Toc425554608"/>
      <w:r w:rsidRPr="00BA795F">
        <w:rPr>
          <w:rFonts w:ascii="IRBadr" w:hAnsi="IRBadr" w:cs="IRBadr"/>
          <w:color w:val="auto"/>
          <w:sz w:val="28"/>
          <w:szCs w:val="28"/>
          <w:rtl/>
        </w:rPr>
        <w:t>علم به حکم</w:t>
      </w:r>
      <w:bookmarkEnd w:id="16"/>
    </w:p>
    <w:p w:rsidR="00FD615E" w:rsidRPr="00BA795F" w:rsidRDefault="009F78C9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>علم به حکم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یعنی بداند در شرع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شرب خمر حرام است و حد دارد. اما اگر نداند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طبق آنچه مسلم است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همه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می‌دانند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 xml:space="preserve">حرمت و حد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ثابت نیست. این هم دلیل روایاتی است که در این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بحث‌های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سابق هم احتمالاً خواندیم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الان هم بعضی گفتیم. قبل از اینکه روایات بخوانیم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علی‌القاعده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هم گفتیم باید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باشد. شرب خمر در جایی که بداند این حرام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یا حد دارد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این حکمش طبق قاعده است. طبق قاعده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 که اگر جاهل و غافل باشد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حدیث رفع حکم را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برمی‌دارد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. یعنی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نمی‌داند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این حرام بود و جاهل هم ج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>ا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هل قصوری بود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حدیث رفع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تکلیفی ندارد و وقتی که حرمت برداشته بشود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بالموازنه آن حد هم برداشته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 xml:space="preserve">چون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حد در جایی است که حرمتی باشد. اما اگر جهل تقصیری باشد. یعنی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بداند 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 xml:space="preserve">ولی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نمی‌رود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 xml:space="preserve"> دنبال دانستن آن حکم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>در این صورت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حدیث رفع آن را </w:t>
      </w:r>
      <w:r w:rsidR="00D11B13" w:rsidRPr="00BA795F">
        <w:rPr>
          <w:rFonts w:ascii="IRBadr" w:hAnsi="IRBadr" w:cs="IRBadr"/>
          <w:sz w:val="28"/>
          <w:szCs w:val="28"/>
          <w:rtl/>
          <w:lang w:bidi="fa-IR"/>
        </w:rPr>
        <w:t xml:space="preserve">در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برنمی‌گیرد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 یعنی اگر ما باشیم و قواعد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قاعده اقتضا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جهل و قصور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باشد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حرمت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 و حد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نباشد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اما اگر جهل تقصیری باشد،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قاعده اقتضا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حرام 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>باشد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 اطلاقات 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حرمت و ثبوت حد هم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شامل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 آن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. این 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>در صورتی است که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 xml:space="preserve"> قاعده باشد.</w:t>
      </w:r>
    </w:p>
    <w:p w:rsidR="006F2CA8" w:rsidRPr="00BA795F" w:rsidRDefault="006F2CA8" w:rsidP="00065DEA">
      <w:pPr>
        <w:pStyle w:val="2"/>
        <w:bidi/>
        <w:rPr>
          <w:rFonts w:ascii="IRBadr" w:hAnsi="IRBadr" w:cs="IRBadr"/>
          <w:color w:val="auto"/>
          <w:sz w:val="32"/>
          <w:szCs w:val="32"/>
          <w:rtl/>
        </w:rPr>
      </w:pPr>
      <w:bookmarkStart w:id="17" w:name="_Toc425554609"/>
      <w:r w:rsidRPr="00BA795F">
        <w:rPr>
          <w:rFonts w:ascii="IRBadr" w:hAnsi="IRBadr" w:cs="IRBadr"/>
          <w:color w:val="auto"/>
          <w:sz w:val="32"/>
          <w:szCs w:val="32"/>
          <w:rtl/>
        </w:rPr>
        <w:lastRenderedPageBreak/>
        <w:t>روایاتی در باب جهل به حکم</w:t>
      </w:r>
      <w:bookmarkEnd w:id="17"/>
    </w:p>
    <w:p w:rsidR="004F5672" w:rsidRPr="00BA795F" w:rsidRDefault="006F2CA8" w:rsidP="00065DEA">
      <w:pPr>
        <w:pStyle w:val="aa"/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اما روایاتی داریم در این باب.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این روایات در ابواب مقدمات حدود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باب چهارده،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صفحه سیصد و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بیست‌وسه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در این باب چند روایت است که همه همین نکته را بیان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می‌کنند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F5672" w:rsidRPr="00BA795F" w:rsidRDefault="004F5672" w:rsidP="00065DEA">
      <w:pPr>
        <w:pStyle w:val="aa"/>
        <w:numPr>
          <w:ilvl w:val="0"/>
          <w:numId w:val="5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روایت اول که 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روایت معتبر هم هست، عن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محمد بن علی بن حسین باسناده عن الحلبی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از امام صادق </w:t>
      </w:r>
      <w:r w:rsidR="005D0F09">
        <w:rPr>
          <w:rFonts w:ascii="IRBadr" w:hAnsi="IRBadr" w:cs="IRBadr"/>
          <w:sz w:val="28"/>
          <w:szCs w:val="28"/>
          <w:rtl/>
          <w:lang w:bidi="fa-IR"/>
        </w:rPr>
        <w:t>این‌چنین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نقل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8B4FF6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که: (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لو أنّ رجلًا دخل ف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الإسلام و أقرّ به، ثمّ شرب الخمر و زنا و أ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 الربا و لم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تب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ن له ش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‌ء من الحلال و الحرام، لم أقم عل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 الحدّ إذا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ان جاهلًا، إلّا أن تقوم عل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 الب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نة أنّه قرأ السورة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آلتی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فی‌ها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الزنا و الخمر و أ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ل الربا، و إذا جهل ذل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أعلمته و أخبرته، فإن ر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به بعد ذل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جلدته و أقمت عل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 الحدّ</w:t>
      </w:r>
      <w:r w:rsidR="00762DA0" w:rsidRPr="00BA795F">
        <w:rPr>
          <w:rStyle w:val="ad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8B4FF6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)</w:t>
      </w:r>
    </w:p>
    <w:p w:rsidR="004F5672" w:rsidRPr="00BA795F" w:rsidRDefault="004F5672" w:rsidP="00065DEA">
      <w:pPr>
        <w:pStyle w:val="aa"/>
        <w:numPr>
          <w:ilvl w:val="0"/>
          <w:numId w:val="5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روایت دوم 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 xml:space="preserve">از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همین باب است. 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 xml:space="preserve">عن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محمد بن یعقوب عن علی بن ابراهیم عن محمد بن عیسی بن عبید عن یونس عن ابی ایوب عن فضال عن محمد بن حسین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سند این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همان بحث محمد بن عیسی بن عبید است که چند بار 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 xml:space="preserve">در موردش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بحث کردیم. که ما قبول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>ش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نداریم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>، چون یک نکته فنی این روایات با این سند مورد قبول نیست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ولو محمد بن عیسی را تضعیف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نمی‌کنیم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. این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 xml:space="preserve"> روایت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از امام باقر است که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قُلْتُ لِأَبِ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جَعْفَرٍ ع رَجُلٌ دَعَوْنَاهُ إِلَ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جُمْلَةِ مَا نَحْنُ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مِنْ جُمْلَةِ الْإِسْلَامِ فَأَقَرَّ بِهِ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یک کسی 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 xml:space="preserve">را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دعوت به اسلام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 xml:space="preserve">(به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کلیت اسلام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 xml:space="preserve"> کردید که او پذیرفت. می</w:t>
      </w:r>
      <w:r w:rsidR="000D50EE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دانید مسلمان که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نیست که به همه تفاصیل آگاه باشد. کلیت اسلام 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>را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می‌پذیرد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و اقرار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ثُمَّ شَرِبَ الْخَمْرَ وَ زَنَ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أَ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لَ الرِّبَا وَ لَمْ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تَبَ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نْ لَهُ شَ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‌ءٌ مِنَ الْحَلَالِ وَ الْحَرَامِ أُقِ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مَ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الْحَدُّ إِذَا جَهِلَهُ قَالَ لَا إِلَّا أَنْ تَقُومَ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بَ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نَةٌ أَنَّهُ قَدْ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انَ أَقَرَّ بِتَحْرِ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مِهَا</w:t>
      </w:r>
      <w:r w:rsidR="00762DA0" w:rsidRPr="00BA795F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6"/>
      </w:r>
      <w:r w:rsidR="00395B8B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هم باز روایت دیگری است.</w:t>
      </w:r>
    </w:p>
    <w:p w:rsidR="004F5672" w:rsidRPr="00BA795F" w:rsidRDefault="000D50EE" w:rsidP="00065DEA">
      <w:pPr>
        <w:pStyle w:val="aa"/>
        <w:numPr>
          <w:ilvl w:val="0"/>
          <w:numId w:val="5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 xml:space="preserve"> روایت سوم هم که روایت معتبره</w:t>
      </w:r>
      <w:r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ای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عَلِ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أَبِ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عَنِ ابْنِ أَبِ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عُمَ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رٍ عَمَّنْ رَوَاهُ عَنْ أَبِ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عُبَ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34144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دَةَ الْحَذَّاءِ قَالَ قَالَ أَبُو جَعْفَرٍ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ع: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لَوْ وَجَدْتُ رَجُلًا مِنَ الْعَجَمِ أَقَرَّ بِجُمْلَةِ الْإِسْلَامِ لَمْ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أْتِهِ شَ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‌ءٌ مِنَ التَّفْسِ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رِ زَنَ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أَوْ سَرَقَ أَوْ شَرِبَ الْخَمْرَ لَمْ أُقِمْ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الْحَدَّ إِذَا جَهِلَهُ إِلَّا أَنْ تَقُومَ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بَ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نَةٌ أَنَّهُ قَ</w:t>
      </w:r>
      <w:r w:rsidR="00762DA0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دْ أَقَرَّ بِذَلِ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762DA0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عَرَفَهُ</w:t>
      </w:r>
      <w:r w:rsidR="00762DA0" w:rsidRPr="00BA795F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7"/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بله ممکن است بینه بگوید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 xml:space="preserve">ما </w:t>
      </w:r>
      <w:r>
        <w:rPr>
          <w:rFonts w:ascii="IRBadr" w:hAnsi="IRBadr" w:cs="IRBadr"/>
          <w:sz w:val="28"/>
          <w:szCs w:val="28"/>
          <w:rtl/>
          <w:lang w:bidi="fa-IR"/>
        </w:rPr>
        <w:t>می‌دانیم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این آیه را خوانده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61F16" w:rsidRPr="00BA795F">
        <w:rPr>
          <w:rFonts w:ascii="IRBadr" w:hAnsi="IRBadr" w:cs="IRBadr"/>
          <w:sz w:val="28"/>
          <w:szCs w:val="28"/>
          <w:rtl/>
          <w:lang w:bidi="fa-IR"/>
        </w:rPr>
        <w:t>آگاه است.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 xml:space="preserve">گاهی هم این ادع را کسی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نمی‌پذیرد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 xml:space="preserve"> چون از زبان یک عالم گفته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4F5672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سه روایت روایتی بود که هم شرب خمر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 xml:space="preserve">هم زنا و هم اکل ربا را شامل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می‌شد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4F5672" w:rsidRPr="00BA795F" w:rsidRDefault="00314420" w:rsidP="00065DEA">
      <w:pPr>
        <w:pStyle w:val="aa"/>
        <w:numPr>
          <w:ilvl w:val="0"/>
          <w:numId w:val="5"/>
        </w:numPr>
        <w:bidi/>
        <w:ind w:left="0"/>
        <w:jc w:val="both"/>
        <w:rPr>
          <w:rFonts w:ascii="IRBadr" w:hAnsi="IRBadr" w:cs="IRBadr"/>
          <w:sz w:val="28"/>
          <w:szCs w:val="28"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lastRenderedPageBreak/>
        <w:t xml:space="preserve"> روایت چهارم در خصوص شرب خمر است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عَلِ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 أَبِ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عَنِ ابْنِ أَبِ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عُمَ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رٍ عَنْ جَمِ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لٍ عَنْ بَعْضِ أَصْحَابِهِ عَنْ أَحَدِهِمَا ع فِ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رَجُلٍ دَخَلَ فِ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الْإِسْلَامِ فَشَرِبَ خَمْراً وَ هُوَ جَاهِلٌ قَالَ لَمْ أَ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نْ أُقِ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مُ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هِ الْحَدَّ إِذَا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DE4B73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انَ جَاهِلًا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 xml:space="preserve"> ...</w:t>
      </w:r>
      <w:r w:rsidR="00762DA0" w:rsidRPr="00BA795F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8"/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حد بر 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>او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حد جاری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نمی‌شود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0D50EE" w:rsidRDefault="00314420" w:rsidP="00065DEA">
      <w:pPr>
        <w:bidi/>
        <w:jc w:val="both"/>
        <w:rPr>
          <w:rFonts w:ascii="IRBadr" w:hAnsi="IRBadr" w:cs="IRBadr" w:hint="cs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روایت پنجم هم باز در این باب است. این روایت 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>داستان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دارد که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مفصل‌تر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ین</w:t>
      </w:r>
      <w:r w:rsidR="00DE4B73" w:rsidRPr="00BA795F">
        <w:rPr>
          <w:rFonts w:ascii="IRBadr" w:hAnsi="IRBadr" w:cs="IRBadr"/>
          <w:sz w:val="28"/>
          <w:szCs w:val="28"/>
          <w:rtl/>
          <w:lang w:bidi="fa-IR"/>
        </w:rPr>
        <w:t xml:space="preserve"> متن را همین روایت دارد.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روایت پنجم در ابواب حد مسکر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باب ده آمده است. این روایت یک 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>داستانی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 که در زمان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اتفاق افتاده و 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 xml:space="preserve">امام صادق (ع)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آن را نقل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. دو سند دارد که سندش در همین روایت پنجم باب چهارده ابواب مقدمات حدود است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در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این سند علی بن ابی حمزه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قرار گرفته است. علی بن ابی حمزه بطائنی که سابق بحث کردیم و گفتیم یکی از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بینان‌گذاران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واقفیه است و از اصحاب نزدیک امام کاظم بود و منحرف شد و منشأ انحراف وسیعی شد و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پایه‌گذار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وقف در امام کاظم و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پیدایش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جریان واقفیه بودند. بهر حال این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 xml:space="preserve"> سند اعتبار ندارد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اما همین روایت به صورت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مفصل‌تر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در جای دیگر آمده که سند معتبر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>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هم دارد. این روایت در ابواب حد مسکر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باب ده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حدیث اول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صفحه چهارصد و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هفتادوپنج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6F2CA8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سند معتبر است. محمد بن یعقوب عن علی بن اسحاق عن فضال عن ابن بکیر عن ابی عبد الله امام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="004F5672" w:rsidRPr="00BA795F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>(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شَرِبَ رَجُلٌ الْخَمْرَ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عَهْدِ أَبِ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رٍ فَرُفِعَ إِلَ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أَبِ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رٍ فَقَالَ لَهُ أَ شَرِبْتَ خَمْراً قَالَ نَعَمْ قَالَ وَ لِمَ وَ هِ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مُحَرَّمَةٌ قَالَ فَقَالَ لَهُ الرَّجُلُ إِنِّ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أَسْلَمْتُ وَ حَسُنَ إِسْلَامِ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4F5672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وَ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مَنْزِلِی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>)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مسلمان شدم و مسلمان 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>واقعی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شدم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ولی منزل </w:t>
      </w:r>
      <w:r w:rsidR="004F5672" w:rsidRPr="00BA795F">
        <w:rPr>
          <w:rFonts w:ascii="IRBadr" w:hAnsi="IRBadr" w:cs="IRBadr"/>
          <w:sz w:val="28"/>
          <w:szCs w:val="28"/>
          <w:rtl/>
          <w:lang w:bidi="fa-IR"/>
        </w:rPr>
        <w:t xml:space="preserve">من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در میان قومی </w:t>
      </w:r>
      <w:r w:rsidR="004F5672" w:rsidRPr="00BA795F">
        <w:rPr>
          <w:rFonts w:ascii="IRBadr" w:hAnsi="IRBadr" w:cs="IRBadr"/>
          <w:sz w:val="28"/>
          <w:szCs w:val="28"/>
          <w:rtl/>
          <w:lang w:bidi="fa-IR"/>
        </w:rPr>
        <w:t xml:space="preserve">است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="009E58AA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(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E58AA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شْرَبُونَ الْخَمْرَ وَ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9E58AA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سْتَحِلُّونَهَا وَ لَوْ عَلِمْتُ أَنَّهَا حَرَامٌ اجْتَنَبْتُهَا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 xml:space="preserve">) یک جایی هست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که اقتضای اسلام </w:t>
      </w:r>
      <w:r w:rsidR="00BA795F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بوده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به خصوص می دانید 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خمر در جاهای دیگر شایع و مرسوم بود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>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شرب بشود. و یکی از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سختی‌های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 xml:space="preserve"> آن زمان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بود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>ه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خمر را حرام 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>کنند. در اینجا حرمتش تدریجی است،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چون یک دفعه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نمی‌توانستند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عمل بکنند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چون به شدت آمیخته به زندگی مردم بود. اول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این‌طور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9E58AA" w:rsidRPr="00BA795F">
        <w:rPr>
          <w:rFonts w:ascii="IRBadr" w:hAnsi="IRBadr" w:cs="IRBadr"/>
          <w:sz w:val="28"/>
          <w:szCs w:val="28"/>
          <w:rtl/>
          <w:lang w:bidi="fa-IR"/>
        </w:rPr>
        <w:t>بود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اگر شرب خمر کنی، چند تا ضربه شلاق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می‌زدند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تا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این‌که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رسید به هشتاد ضربه،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که این مطلب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روایاتی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هم دارد.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می‌گوید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من میان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مجموعه‌ای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بودم که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شرب خمر را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حلال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می‌دانستند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کسی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نمی‌گفت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حرام است.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ابوبکر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نگاهی به عمر کرد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>گفت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خوب چکار بکنیم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با او که ادعا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نمی‌دانستم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حرمت دارد. 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(فَالْتَفَتَ </w:t>
      </w:r>
      <w:r w:rsid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ابوبکر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إِلَ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عُمَرَ فَقَالَ مَا تَقُولُ فِ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أَمْرِ هَذَا الرَّجُلِ فَقَالَ عُمَرُ مُعْضِلَةٌ وَ 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سَ لَهَا إِلَّا أَبُو الْحَسَنِ قَالَ فَقَالَ </w:t>
      </w:r>
      <w:r w:rsid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ابوبکر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ادْعُ لَنَا عَلِ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اً فَقَالَ عُمَرُ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ؤْتَ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مُ فِ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تِهِ فَقَامَا وَ الرَّجُلُ مَعَهُمَا وَ مَنْ حَضَرَهُمَا مِنَ النَّاسِ حَتَّ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أَتَوْا </w:t>
      </w:r>
      <w:r w:rsidR="000D50EE">
        <w:rPr>
          <w:rFonts w:ascii="IRBadr" w:hAnsi="IRBadr" w:cs="IRBadr"/>
          <w:b/>
          <w:bCs/>
          <w:sz w:val="28"/>
          <w:szCs w:val="28"/>
          <w:rtl/>
          <w:lang w:bidi="fa-IR"/>
        </w:rPr>
        <w:t>امیرالمؤمنین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 فَأَخْبَرَاهُ بِقِصَّةِ الرَّجُلِ وَ قَصَّ الرَّجُلُ قِصَّتَهُ قَالَ فَقَالَ ابْعَثُوا مَعَهُ مَنْ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دُورُ بِهِ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مَجَالِسِ الْمُهَاجِرِ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نَ وَ الْأَنْصَارِ مَنْ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انَ تَلَا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آ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ةَ التَّحْرِ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مِ فَلْ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شْهَدْ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فَفَعَلُوا ذَلِ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ک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بِهِ فَلَمْ 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شْهَدْ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أَحَدٌ بِأَنَّهُ قَرَأَ 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هِ آ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ةَ التَّحْرِ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مِ فَخَلَّ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عَنْهُ وَ قَالَ لَهُ إِنْ شَرِبْتَ بَعْدَهَا أَقَمْنَا 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lastRenderedPageBreak/>
        <w:t>عَلَ</w:t>
      </w:r>
      <w:r w:rsidR="002B4ABC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>یک</w:t>
      </w:r>
      <w:r w:rsidR="002A34F1" w:rsidRPr="00BA795F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الْحَدَّ</w:t>
      </w:r>
      <w:r w:rsidR="00B223C8" w:rsidRPr="00BA795F">
        <w:rPr>
          <w:rStyle w:val="ad"/>
          <w:rFonts w:ascii="IRBadr" w:hAnsi="IRBadr" w:cs="IRBadr"/>
          <w:sz w:val="28"/>
          <w:szCs w:val="28"/>
          <w:rtl/>
          <w:lang w:bidi="fa-IR"/>
        </w:rPr>
        <w:footnoteReference w:id="9"/>
      </w:r>
      <w:r w:rsidR="000D50EE">
        <w:rPr>
          <w:rFonts w:ascii="IRBadr" w:hAnsi="IRBadr" w:cs="IRBadr"/>
          <w:sz w:val="28"/>
          <w:szCs w:val="28"/>
          <w:rtl/>
          <w:lang w:bidi="fa-IR"/>
        </w:rPr>
        <w:t>)</w:t>
      </w:r>
      <w:r w:rsidR="000D50EE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2A34F1" w:rsidRPr="00BA795F" w:rsidRDefault="000D50EE" w:rsidP="000D50EE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عمر دید معضل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و مشکل است این مطلب و 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مسئله </w:t>
      </w:r>
      <w:r>
        <w:rPr>
          <w:rFonts w:ascii="IRBadr" w:hAnsi="IRBadr" w:cs="IRBadr"/>
          <w:sz w:val="28"/>
          <w:szCs w:val="28"/>
          <w:rtl/>
          <w:lang w:bidi="fa-IR"/>
        </w:rPr>
        <w:t>پیچیده‌ای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 که باید از </w:t>
      </w:r>
      <w:r>
        <w:rPr>
          <w:rFonts w:ascii="IRBadr" w:hAnsi="IRBadr" w:cs="IRBadr"/>
          <w:sz w:val="28"/>
          <w:szCs w:val="28"/>
          <w:rtl/>
          <w:lang w:bidi="fa-IR"/>
        </w:rPr>
        <w:t>امیرالمؤمنین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>ع)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کند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>
        <w:rPr>
          <w:rFonts w:ascii="IRBadr" w:hAnsi="IRBadr" w:cs="IRBadr"/>
          <w:sz w:val="28"/>
          <w:szCs w:val="28"/>
          <w:rtl/>
          <w:lang w:bidi="fa-IR"/>
        </w:rPr>
        <w:t>ابوبکر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 گفت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: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علی (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>ع) را بخواه؟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 عمر 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گفت: علی (ع)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نمی‌آید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، 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اگر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می‌خواهی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 باید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 به خانه‌اش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 بروی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="00314420" w:rsidRPr="00BA795F">
        <w:rPr>
          <w:rFonts w:ascii="IRBadr" w:hAnsi="IRBadr" w:cs="IRBadr"/>
          <w:sz w:val="28"/>
          <w:szCs w:val="28"/>
          <w:rtl/>
          <w:lang w:bidi="fa-IR"/>
        </w:rPr>
        <w:t xml:space="preserve"> عمر بلند شد و رفتند خدمت حضرت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. 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آن 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مرد 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>هم گفت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 xml:space="preserve">داستان من </w:t>
      </w:r>
      <w:r>
        <w:rPr>
          <w:rFonts w:ascii="IRBadr" w:hAnsi="IRBadr" w:cs="IRBadr"/>
          <w:sz w:val="28"/>
          <w:szCs w:val="28"/>
          <w:rtl/>
          <w:lang w:bidi="fa-IR"/>
        </w:rPr>
        <w:t>این‌جوری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</w:t>
      </w:r>
      <w:r w:rsidR="002A34F1" w:rsidRPr="00BA795F">
        <w:rPr>
          <w:rFonts w:ascii="IRBadr" w:hAnsi="IRBadr" w:cs="IRBadr"/>
          <w:sz w:val="28"/>
          <w:szCs w:val="28"/>
          <w:rtl/>
          <w:lang w:bidi="fa-IR"/>
        </w:rPr>
        <w:t>.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علی (</w:t>
      </w:r>
      <w:r w:rsidR="000176BC" w:rsidRPr="00BA795F">
        <w:rPr>
          <w:rFonts w:ascii="IRBadr" w:hAnsi="IRBadr" w:cs="IRBadr"/>
          <w:sz w:val="28"/>
          <w:szCs w:val="28"/>
          <w:rtl/>
          <w:lang w:bidi="fa-IR"/>
        </w:rPr>
        <w:t>ع) فرمود: همراه با این شخص کسی را بفرستید تا او را بگرداند در مجالس مهاجرین و انصار و کسی برای او آیه سوره تحریم را تلاوت کند؛ پس باید شهادت دهد بر آن.</w:t>
      </w:r>
      <w:r w:rsidR="004C3C6C" w:rsidRPr="00BA795F">
        <w:rPr>
          <w:rFonts w:ascii="IRBadr" w:hAnsi="IRBadr" w:cs="IRBadr"/>
          <w:sz w:val="28"/>
          <w:szCs w:val="28"/>
          <w:rtl/>
          <w:lang w:bidi="fa-IR"/>
        </w:rPr>
        <w:t xml:space="preserve"> وقتی این کار را کردند، پس </w:t>
      </w:r>
      <w:r>
        <w:rPr>
          <w:rFonts w:ascii="IRBadr" w:hAnsi="IRBadr" w:cs="IRBadr"/>
          <w:sz w:val="28"/>
          <w:szCs w:val="28"/>
          <w:rtl/>
          <w:lang w:bidi="fa-IR"/>
        </w:rPr>
        <w:t>هیچ‌کس</w:t>
      </w:r>
      <w:r w:rsidR="004C3C6C" w:rsidRPr="00BA795F">
        <w:rPr>
          <w:rFonts w:ascii="IRBadr" w:hAnsi="IRBadr" w:cs="IRBadr"/>
          <w:sz w:val="28"/>
          <w:szCs w:val="28"/>
          <w:rtl/>
          <w:lang w:bidi="fa-IR"/>
        </w:rPr>
        <w:t xml:space="preserve"> شهادت علیه او به اینکه این آیه برای او خوانده شده و او به آن آیه عمل نکرده، نداد. پس به او فرمود: اگر بعد از این، شراب نوشیدی، حد شراب را بر تو اقامه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می‌کنیم</w:t>
      </w:r>
      <w:r w:rsidR="004C3C6C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B20B33" w:rsidRPr="00BA795F" w:rsidRDefault="004C3C6C" w:rsidP="00065DE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BA795F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مجموعه این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روایات</w:t>
      </w:r>
      <w:r w:rsidR="00787CC7" w:rsidRPr="00BA795F">
        <w:rPr>
          <w:rFonts w:ascii="IRBadr" w:hAnsi="IRBadr" w:cs="IRBadr"/>
          <w:sz w:val="28"/>
          <w:szCs w:val="28"/>
          <w:rtl/>
          <w:lang w:bidi="fa-IR"/>
        </w:rPr>
        <w:t>، به خوبی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دلالت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بر اینکه علم به حکم لازم است. و اگر علم به حکم ندارد، حد بر این</w:t>
      </w:r>
      <w:r w:rsidR="000176BC" w:rsidRPr="00BA795F">
        <w:rPr>
          <w:rFonts w:ascii="IRBadr" w:hAnsi="IRBadr" w:cs="IRBadr"/>
          <w:sz w:val="28"/>
          <w:szCs w:val="28"/>
          <w:rtl/>
          <w:lang w:bidi="fa-IR"/>
        </w:rPr>
        <w:t xml:space="preserve"> شخص،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ثابت نیست. </w:t>
      </w:r>
      <w:r w:rsidR="002B4ABC" w:rsidRPr="00BA795F">
        <w:rPr>
          <w:rFonts w:ascii="IRBadr" w:hAnsi="IRBadr" w:cs="IRBadr"/>
          <w:sz w:val="28"/>
          <w:szCs w:val="28"/>
          <w:rtl/>
          <w:lang w:bidi="fa-IR"/>
        </w:rPr>
        <w:t>سؤال</w:t>
      </w:r>
      <w:r w:rsidR="000176BC" w:rsidRPr="00BA795F">
        <w:rPr>
          <w:rFonts w:ascii="IRBadr" w:hAnsi="IRBadr" w:cs="IRBadr"/>
          <w:sz w:val="28"/>
          <w:szCs w:val="28"/>
          <w:rtl/>
          <w:lang w:bidi="fa-IR"/>
        </w:rPr>
        <w:t>: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علم به حکم حرمت یا علم به این حد </w:t>
      </w:r>
      <w:r w:rsidR="000176BC" w:rsidRPr="00BA795F">
        <w:rPr>
          <w:rFonts w:ascii="IRBadr" w:hAnsi="IRBadr" w:cs="IRBadr"/>
          <w:sz w:val="28"/>
          <w:szCs w:val="28"/>
          <w:rtl/>
          <w:lang w:bidi="fa-IR"/>
        </w:rPr>
        <w:t>لازم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است. ظاهر همین روایت آخر</w:t>
      </w:r>
      <w:r w:rsidR="000176BC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این است که علم</w:t>
      </w:r>
      <w:r w:rsidR="000176BC" w:rsidRPr="00BA795F">
        <w:rPr>
          <w:rFonts w:ascii="IRBadr" w:hAnsi="IRBadr" w:cs="IRBadr"/>
          <w:sz w:val="28"/>
          <w:szCs w:val="28"/>
          <w:rtl/>
          <w:lang w:bidi="fa-IR"/>
        </w:rPr>
        <w:t xml:space="preserve"> به حکم تکلیفی کافی است و تحریمی که در 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قرآن آمده است، نهی از ارتکاب این حرام است و حد نیست. و لذا </w:t>
      </w:r>
      <w:r w:rsidR="000D50EE">
        <w:rPr>
          <w:rFonts w:ascii="IRBadr" w:hAnsi="IRBadr" w:cs="IRBadr"/>
          <w:sz w:val="28"/>
          <w:szCs w:val="28"/>
          <w:rtl/>
          <w:lang w:bidi="fa-IR"/>
        </w:rPr>
        <w:t>همین‌که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حرمتش را بداند، آن وقت حد ثابت </w:t>
      </w:r>
      <w:r w:rsidR="00C10450" w:rsidRPr="00BA795F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>. علم به حرمت</w:t>
      </w:r>
      <w:r w:rsidR="000176BC" w:rsidRPr="00BA795F">
        <w:rPr>
          <w:rFonts w:ascii="IRBadr" w:hAnsi="IRBadr" w:cs="IRBadr"/>
          <w:sz w:val="28"/>
          <w:szCs w:val="28"/>
          <w:rtl/>
          <w:lang w:bidi="fa-IR"/>
        </w:rPr>
        <w:t>،</w:t>
      </w:r>
      <w:r w:rsidR="000257CE" w:rsidRPr="00BA795F">
        <w:rPr>
          <w:rFonts w:ascii="IRBadr" w:hAnsi="IRBadr" w:cs="IRBadr"/>
          <w:sz w:val="28"/>
          <w:szCs w:val="28"/>
          <w:rtl/>
          <w:lang w:bidi="fa-IR"/>
        </w:rPr>
        <w:t xml:space="preserve"> شرط برای ثبوت حد است نه به علم اینکه حد دارد. پس علم به موضوع لازم است و علم به حکم تحریم، نه به فروض حد</w:t>
      </w:r>
      <w:r w:rsidR="000176BC" w:rsidRPr="00BA795F">
        <w:rPr>
          <w:rFonts w:ascii="IRBadr" w:hAnsi="IRBadr" w:cs="IRBadr"/>
          <w:sz w:val="28"/>
          <w:szCs w:val="28"/>
          <w:rtl/>
          <w:lang w:bidi="fa-IR"/>
        </w:rPr>
        <w:t>.</w:t>
      </w:r>
    </w:p>
    <w:sectPr w:rsidR="00B20B33" w:rsidRPr="00BA795F" w:rsidSect="00762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type w:val="continuous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9B" w:rsidRDefault="00D5479B" w:rsidP="00B20B33">
      <w:pPr>
        <w:spacing w:after="0" w:line="240" w:lineRule="auto"/>
      </w:pPr>
      <w:r>
        <w:separator/>
      </w:r>
    </w:p>
  </w:endnote>
  <w:endnote w:type="continuationSeparator" w:id="0">
    <w:p w:rsidR="00D5479B" w:rsidRDefault="00D5479B" w:rsidP="00B2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oor_Lotus">
    <w:panose1 w:val="02000400000000000000"/>
    <w:charset w:val="00"/>
    <w:family w:val="auto"/>
    <w:pitch w:val="variable"/>
    <w:sig w:usb0="80002007" w:usb1="80002000" w:usb2="00000008" w:usb3="00000000" w:csb0="00000043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BC" w:rsidRDefault="002B4A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BC" w:rsidRDefault="002B4A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BC" w:rsidRDefault="002B4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9B" w:rsidRDefault="00D5479B" w:rsidP="00065DEA">
      <w:pPr>
        <w:bidi/>
        <w:spacing w:after="0" w:line="240" w:lineRule="auto"/>
      </w:pPr>
      <w:r>
        <w:separator/>
      </w:r>
    </w:p>
  </w:footnote>
  <w:footnote w:type="continuationSeparator" w:id="0">
    <w:p w:rsidR="00D5479B" w:rsidRDefault="00D5479B" w:rsidP="00B20B33">
      <w:pPr>
        <w:spacing w:after="0" w:line="240" w:lineRule="auto"/>
      </w:pPr>
      <w:r>
        <w:continuationSeparator/>
      </w:r>
    </w:p>
  </w:footnote>
  <w:footnote w:id="1">
    <w:p w:rsidR="00421DD6" w:rsidRPr="00FD615E" w:rsidRDefault="00421DD6" w:rsidP="00421DD6">
      <w:pPr>
        <w:pStyle w:val="aa"/>
        <w:bidi/>
        <w:rPr>
          <w:rFonts w:ascii="Noor_Lotus" w:hAnsi="Noor_Lotus" w:cs="B Lotus"/>
          <w:sz w:val="20"/>
          <w:szCs w:val="20"/>
          <w:lang w:bidi="fa-IR"/>
        </w:rPr>
      </w:pPr>
      <w:r w:rsidRPr="00FD615E">
        <w:rPr>
          <w:rFonts w:cs="B Lotus"/>
          <w:sz w:val="20"/>
          <w:szCs w:val="20"/>
        </w:rPr>
        <w:t>.</w:t>
      </w:r>
      <w:r w:rsidRPr="00FD615E">
        <w:rPr>
          <w:rStyle w:val="ad"/>
          <w:rFonts w:cs="B Lotus"/>
          <w:sz w:val="20"/>
          <w:szCs w:val="20"/>
          <w:vertAlign w:val="baseline"/>
        </w:rPr>
        <w:footnoteRef/>
      </w:r>
      <w:r w:rsidRPr="00FD615E">
        <w:rPr>
          <w:rFonts w:cs="B Lotus"/>
          <w:sz w:val="20"/>
          <w:szCs w:val="20"/>
        </w:rPr>
        <w:t xml:space="preserve"> 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تحر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ر </w:t>
      </w:r>
      <w:bookmarkStart w:id="0" w:name="_GoBack"/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الوس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لة</w:t>
      </w:r>
      <w:bookmarkEnd w:id="0"/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، </w:t>
      </w:r>
      <w:r w:rsidR="002B4ABC">
        <w:rPr>
          <w:rFonts w:ascii="Noor_Titr" w:hAnsi="Noor_Titr" w:cs="B Lotus"/>
          <w:sz w:val="20"/>
          <w:szCs w:val="20"/>
          <w:rtl/>
          <w:lang w:bidi="fa-IR"/>
        </w:rPr>
        <w:t>ج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2، ص: 478</w:t>
      </w:r>
    </w:p>
  </w:footnote>
  <w:footnote w:id="2">
    <w:p w:rsidR="00421DD6" w:rsidRPr="00FD615E" w:rsidRDefault="00421DD6" w:rsidP="00421DD6">
      <w:pPr>
        <w:pStyle w:val="ab"/>
        <w:jc w:val="right"/>
      </w:pPr>
      <w:r w:rsidRPr="00FD615E">
        <w:rPr>
          <w:rFonts w:hint="cs"/>
          <w:rtl/>
          <w:lang w:bidi="fa-IR"/>
        </w:rPr>
        <w:t>.</w:t>
      </w:r>
      <w:r w:rsidR="002B4ABC">
        <w:rPr>
          <w:rFonts w:cs="B Lotus"/>
          <w:rtl/>
          <w:lang w:bidi="fa-IR"/>
        </w:rPr>
        <w:t xml:space="preserve"> </w:t>
      </w:r>
      <w:r w:rsidR="002B4ABC">
        <w:rPr>
          <w:rFonts w:cs="B Lotus" w:hint="cs"/>
          <w:rtl/>
          <w:lang w:bidi="fa-IR"/>
        </w:rPr>
        <w:t>همان</w:t>
      </w:r>
      <w:r w:rsidRPr="00FD615E">
        <w:rPr>
          <w:rStyle w:val="ad"/>
          <w:vertAlign w:val="baseline"/>
        </w:rPr>
        <w:footnoteRef/>
      </w:r>
    </w:p>
  </w:footnote>
  <w:footnote w:id="3">
    <w:p w:rsidR="00421DD6" w:rsidRPr="00FD615E" w:rsidRDefault="00421DD6" w:rsidP="00421DD6">
      <w:pPr>
        <w:pStyle w:val="ab"/>
        <w:jc w:val="right"/>
        <w:rPr>
          <w:rFonts w:cs="B Lotus"/>
          <w:rtl/>
          <w:lang w:bidi="fa-IR"/>
        </w:rPr>
      </w:pPr>
      <w:r w:rsidRPr="00FD615E">
        <w:rPr>
          <w:rFonts w:cs="B Lotus" w:hint="cs"/>
          <w:rtl/>
        </w:rPr>
        <w:t>. همان</w:t>
      </w:r>
      <w:r w:rsidRPr="00FD615E">
        <w:rPr>
          <w:rStyle w:val="ad"/>
          <w:rFonts w:cs="B Lotus"/>
          <w:vertAlign w:val="baseline"/>
        </w:rPr>
        <w:footnoteRef/>
      </w:r>
    </w:p>
  </w:footnote>
  <w:footnote w:id="4">
    <w:p w:rsidR="00762DA0" w:rsidRPr="00FD615E" w:rsidRDefault="00762DA0" w:rsidP="00B223C8">
      <w:pPr>
        <w:pStyle w:val="aa"/>
        <w:bidi/>
        <w:rPr>
          <w:rFonts w:ascii="Noor_Lotus" w:hAnsi="Noor_Lotus" w:cs="B Lotus"/>
          <w:sz w:val="20"/>
          <w:szCs w:val="20"/>
          <w:rtl/>
          <w:lang w:bidi="fa-IR"/>
        </w:rPr>
      </w:pPr>
      <w:r w:rsidRPr="00FD615E">
        <w:rPr>
          <w:rStyle w:val="ad"/>
          <w:rFonts w:cs="B Lotus"/>
          <w:sz w:val="20"/>
          <w:szCs w:val="20"/>
          <w:vertAlign w:val="baseline"/>
        </w:rPr>
        <w:footnoteRef/>
      </w:r>
      <w:r w:rsidRPr="00FD615E">
        <w:rPr>
          <w:rFonts w:cs="B Lotus" w:hint="cs"/>
          <w:sz w:val="20"/>
          <w:szCs w:val="20"/>
          <w:rtl/>
        </w:rPr>
        <w:t xml:space="preserve">. 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وسائل الش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عة، </w:t>
      </w:r>
      <w:r w:rsidR="002B4ABC">
        <w:rPr>
          <w:rFonts w:ascii="Noor_Titr" w:hAnsi="Noor_Titr" w:cs="B Lotus"/>
          <w:sz w:val="20"/>
          <w:szCs w:val="20"/>
          <w:rtl/>
          <w:lang w:bidi="fa-IR"/>
        </w:rPr>
        <w:t>ج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28، ص: 23</w:t>
      </w:r>
    </w:p>
  </w:footnote>
  <w:footnote w:id="5">
    <w:p w:rsidR="00762DA0" w:rsidRPr="00FD615E" w:rsidRDefault="00762DA0" w:rsidP="00762DA0">
      <w:pPr>
        <w:pStyle w:val="aa"/>
        <w:bidi/>
        <w:rPr>
          <w:rFonts w:ascii="Noor_Lotus" w:hAnsi="Noor_Lotus" w:cs="B Lotus"/>
          <w:sz w:val="20"/>
          <w:szCs w:val="20"/>
          <w:rtl/>
          <w:lang w:bidi="fa-IR"/>
        </w:rPr>
      </w:pPr>
      <w:r w:rsidRPr="00FD615E">
        <w:rPr>
          <w:rStyle w:val="ad"/>
          <w:rFonts w:cs="B Lotus"/>
          <w:sz w:val="20"/>
          <w:szCs w:val="20"/>
          <w:vertAlign w:val="baseline"/>
        </w:rPr>
        <w:footnoteRef/>
      </w:r>
      <w:r w:rsidRPr="00FD615E">
        <w:rPr>
          <w:rFonts w:cs="B Lotus" w:hint="cs"/>
          <w:sz w:val="20"/>
          <w:szCs w:val="20"/>
          <w:rtl/>
        </w:rPr>
        <w:t>.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 وسائل الش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عة، </w:t>
      </w:r>
      <w:r w:rsidR="002B4ABC">
        <w:rPr>
          <w:rFonts w:ascii="Noor_Titr" w:hAnsi="Noor_Titr" w:cs="B Lotus"/>
          <w:sz w:val="20"/>
          <w:szCs w:val="20"/>
          <w:rtl/>
          <w:lang w:bidi="fa-IR"/>
        </w:rPr>
        <w:t>ج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28، ص: 32</w:t>
      </w:r>
    </w:p>
  </w:footnote>
  <w:footnote w:id="6">
    <w:p w:rsidR="00762DA0" w:rsidRPr="00FD615E" w:rsidRDefault="00762DA0" w:rsidP="00B223C8">
      <w:pPr>
        <w:pStyle w:val="aa"/>
        <w:bidi/>
        <w:rPr>
          <w:rFonts w:ascii="Noor_Lotus" w:hAnsi="Noor_Lotus" w:cs="B Lotus"/>
          <w:sz w:val="20"/>
          <w:szCs w:val="20"/>
          <w:rtl/>
          <w:lang w:bidi="fa-IR"/>
        </w:rPr>
      </w:pPr>
      <w:r w:rsidRPr="00FD615E">
        <w:rPr>
          <w:rStyle w:val="ad"/>
          <w:rFonts w:cs="B Lotus"/>
          <w:sz w:val="20"/>
          <w:szCs w:val="20"/>
          <w:vertAlign w:val="baseline"/>
        </w:rPr>
        <w:footnoteRef/>
      </w:r>
      <w:r w:rsidRPr="00FD615E">
        <w:rPr>
          <w:rFonts w:cs="B Lotus" w:hint="cs"/>
          <w:sz w:val="20"/>
          <w:szCs w:val="20"/>
          <w:rtl/>
        </w:rPr>
        <w:t>.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 ال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ک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اف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 (ط - الإسلام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ة)، </w:t>
      </w:r>
      <w:r w:rsidR="002B4ABC">
        <w:rPr>
          <w:rFonts w:ascii="Noor_Titr" w:hAnsi="Noor_Titr" w:cs="B Lotus"/>
          <w:sz w:val="20"/>
          <w:szCs w:val="20"/>
          <w:rtl/>
          <w:lang w:bidi="fa-IR"/>
        </w:rPr>
        <w:t>ج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7، ص: 24</w:t>
      </w:r>
      <w:r w:rsidR="00B223C8" w:rsidRPr="00FD615E">
        <w:rPr>
          <w:rFonts w:ascii="Noor_Titr" w:hAnsi="Noor_Titr" w:cs="B Lotus" w:hint="cs"/>
          <w:sz w:val="20"/>
          <w:szCs w:val="20"/>
          <w:rtl/>
          <w:lang w:bidi="fa-IR"/>
        </w:rPr>
        <w:t>8</w:t>
      </w:r>
    </w:p>
  </w:footnote>
  <w:footnote w:id="7">
    <w:p w:rsidR="00762DA0" w:rsidRPr="00FD615E" w:rsidRDefault="00B223C8" w:rsidP="00B223C8">
      <w:pPr>
        <w:pStyle w:val="aa"/>
        <w:bidi/>
        <w:rPr>
          <w:rFonts w:ascii="Noor_Lotus" w:hAnsi="Noor_Lotus" w:cs="B Lotus"/>
          <w:sz w:val="20"/>
          <w:szCs w:val="20"/>
          <w:rtl/>
          <w:lang w:bidi="fa-IR"/>
        </w:rPr>
      </w:pPr>
      <w:r w:rsidRPr="00FD615E">
        <w:rPr>
          <w:rStyle w:val="ad"/>
          <w:rFonts w:cs="B Lotus"/>
          <w:sz w:val="20"/>
          <w:szCs w:val="20"/>
          <w:vertAlign w:val="baseline"/>
        </w:rPr>
        <w:footnoteRef/>
      </w:r>
      <w:r w:rsidR="00762DA0" w:rsidRPr="00FD615E">
        <w:rPr>
          <w:rFonts w:cs="B Lotus" w:hint="cs"/>
          <w:sz w:val="20"/>
          <w:szCs w:val="20"/>
          <w:rtl/>
        </w:rPr>
        <w:t>.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 ال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ک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اف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 (ط - الإسلام</w:t>
      </w:r>
      <w:r w:rsidR="002B4ABC">
        <w:rPr>
          <w:rFonts w:ascii="Noor_Titr" w:hAnsi="Noor_Titr" w:cs="B Lotus" w:hint="cs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 xml:space="preserve">ة)، </w:t>
      </w:r>
      <w:r w:rsidR="002B4ABC">
        <w:rPr>
          <w:rFonts w:ascii="Noor_Titr" w:hAnsi="Noor_Titr" w:cs="B Lotus"/>
          <w:sz w:val="20"/>
          <w:szCs w:val="20"/>
          <w:rtl/>
          <w:lang w:bidi="fa-IR"/>
        </w:rPr>
        <w:t>ج</w:t>
      </w:r>
      <w:r w:rsidRPr="00FD615E">
        <w:rPr>
          <w:rFonts w:ascii="Noor_Titr" w:hAnsi="Noor_Titr" w:cs="B Lotus" w:hint="cs"/>
          <w:sz w:val="20"/>
          <w:szCs w:val="20"/>
          <w:rtl/>
          <w:lang w:bidi="fa-IR"/>
        </w:rPr>
        <w:t>7، ص: 249</w:t>
      </w:r>
    </w:p>
  </w:footnote>
  <w:footnote w:id="8">
    <w:p w:rsidR="00762DA0" w:rsidRPr="00FD615E" w:rsidRDefault="00762DA0" w:rsidP="00762DA0">
      <w:pPr>
        <w:pStyle w:val="ab"/>
        <w:jc w:val="right"/>
        <w:rPr>
          <w:rFonts w:cs="B Lotus"/>
          <w:rtl/>
          <w:lang w:bidi="fa-IR"/>
        </w:rPr>
      </w:pPr>
      <w:r w:rsidRPr="00FD615E">
        <w:rPr>
          <w:rFonts w:cs="B Lotus" w:hint="cs"/>
          <w:rtl/>
        </w:rPr>
        <w:t>.</w:t>
      </w:r>
      <w:r w:rsidR="00B223C8" w:rsidRPr="00FD615E">
        <w:rPr>
          <w:rFonts w:cs="B Lotus" w:hint="cs"/>
          <w:rtl/>
        </w:rPr>
        <w:t xml:space="preserve"> همان</w:t>
      </w:r>
      <w:r w:rsidRPr="00FD615E">
        <w:rPr>
          <w:rStyle w:val="ad"/>
          <w:rFonts w:cs="B Lotus"/>
          <w:vertAlign w:val="baseline"/>
        </w:rPr>
        <w:footnoteRef/>
      </w:r>
    </w:p>
  </w:footnote>
  <w:footnote w:id="9">
    <w:p w:rsidR="00B223C8" w:rsidRPr="00FD615E" w:rsidRDefault="00B223C8" w:rsidP="00B223C8">
      <w:pPr>
        <w:pStyle w:val="aa"/>
        <w:bidi/>
        <w:rPr>
          <w:rFonts w:ascii="Noor_Lotus" w:hAnsi="Noor_Lotus" w:cs="B Lotus"/>
          <w:color w:val="000000"/>
          <w:sz w:val="20"/>
          <w:szCs w:val="20"/>
          <w:rtl/>
          <w:lang w:bidi="fa-IR"/>
        </w:rPr>
      </w:pPr>
      <w:r w:rsidRPr="00FD615E">
        <w:rPr>
          <w:rStyle w:val="ad"/>
          <w:rFonts w:cs="B Lotus"/>
          <w:sz w:val="20"/>
          <w:szCs w:val="20"/>
          <w:vertAlign w:val="baseline"/>
        </w:rPr>
        <w:footnoteRef/>
      </w:r>
      <w:r w:rsidRPr="00FD615E">
        <w:rPr>
          <w:rFonts w:cs="B Lotus" w:hint="cs"/>
          <w:sz w:val="20"/>
          <w:szCs w:val="20"/>
          <w:rtl/>
        </w:rPr>
        <w:t>.</w:t>
      </w:r>
      <w:r w:rsidRPr="00FD615E">
        <w:rPr>
          <w:rFonts w:ascii="Noor_Titr" w:hAnsi="Noor_Titr" w:cs="B Lotus" w:hint="cs"/>
          <w:color w:val="286564"/>
          <w:sz w:val="20"/>
          <w:szCs w:val="20"/>
          <w:rtl/>
          <w:lang w:bidi="fa-IR"/>
        </w:rPr>
        <w:t xml:space="preserve"> ال</w:t>
      </w:r>
      <w:r w:rsidR="002B4ABC">
        <w:rPr>
          <w:rFonts w:ascii="Noor_Titr" w:hAnsi="Noor_Titr" w:cs="B Lotus" w:hint="cs"/>
          <w:color w:val="286564"/>
          <w:sz w:val="20"/>
          <w:szCs w:val="20"/>
          <w:rtl/>
          <w:lang w:bidi="fa-IR"/>
        </w:rPr>
        <w:t>ک</w:t>
      </w:r>
      <w:r w:rsidRPr="00FD615E">
        <w:rPr>
          <w:rFonts w:ascii="Noor_Titr" w:hAnsi="Noor_Titr" w:cs="B Lotus" w:hint="cs"/>
          <w:color w:val="286564"/>
          <w:sz w:val="20"/>
          <w:szCs w:val="20"/>
          <w:rtl/>
          <w:lang w:bidi="fa-IR"/>
        </w:rPr>
        <w:t>اف</w:t>
      </w:r>
      <w:r w:rsidR="002B4ABC">
        <w:rPr>
          <w:rFonts w:ascii="Noor_Titr" w:hAnsi="Noor_Titr" w:cs="B Lotus" w:hint="cs"/>
          <w:color w:val="286564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color w:val="286564"/>
          <w:sz w:val="20"/>
          <w:szCs w:val="20"/>
          <w:rtl/>
          <w:lang w:bidi="fa-IR"/>
        </w:rPr>
        <w:t xml:space="preserve"> (ط - الإسلام</w:t>
      </w:r>
      <w:r w:rsidR="002B4ABC">
        <w:rPr>
          <w:rFonts w:ascii="Noor_Titr" w:hAnsi="Noor_Titr" w:cs="B Lotus" w:hint="cs"/>
          <w:color w:val="286564"/>
          <w:sz w:val="20"/>
          <w:szCs w:val="20"/>
          <w:rtl/>
          <w:lang w:bidi="fa-IR"/>
        </w:rPr>
        <w:t>ی</w:t>
      </w:r>
      <w:r w:rsidRPr="00FD615E">
        <w:rPr>
          <w:rFonts w:ascii="Noor_Titr" w:hAnsi="Noor_Titr" w:cs="B Lotus" w:hint="cs"/>
          <w:color w:val="286564"/>
          <w:sz w:val="20"/>
          <w:szCs w:val="20"/>
          <w:rtl/>
          <w:lang w:bidi="fa-IR"/>
        </w:rPr>
        <w:t xml:space="preserve">ة)، </w:t>
      </w:r>
      <w:r w:rsidR="002B4ABC">
        <w:rPr>
          <w:rFonts w:ascii="Noor_Titr" w:hAnsi="Noor_Titr" w:cs="B Lotus"/>
          <w:color w:val="286564"/>
          <w:sz w:val="20"/>
          <w:szCs w:val="20"/>
          <w:rtl/>
          <w:lang w:bidi="fa-IR"/>
        </w:rPr>
        <w:t>ج</w:t>
      </w:r>
      <w:r w:rsidRPr="00FD615E">
        <w:rPr>
          <w:rFonts w:ascii="Noor_Titr" w:hAnsi="Noor_Titr" w:cs="B Lotus" w:hint="cs"/>
          <w:color w:val="286564"/>
          <w:sz w:val="20"/>
          <w:szCs w:val="20"/>
          <w:rtl/>
          <w:lang w:bidi="fa-IR"/>
        </w:rPr>
        <w:t>7، ص: 217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BC" w:rsidRDefault="002B4A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C5" w:rsidRPr="001007B8" w:rsidRDefault="00FD615E" w:rsidP="001007B8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05CA189" wp14:editId="1CADC5CF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8" w:name="OLE_LINK1"/>
    <w:bookmarkStart w:id="19" w:name="OLE_LINK2"/>
    <w:r w:rsidR="00C550C5">
      <w:rPr>
        <w:noProof/>
        <w:lang w:bidi="fa-IR"/>
      </w:rPr>
      <w:drawing>
        <wp:inline distT="0" distB="0" distL="0" distR="0" wp14:anchorId="518A6326" wp14:editId="450A978C">
          <wp:extent cx="700405" cy="712470"/>
          <wp:effectExtent l="0" t="0" r="4445" b="0"/>
          <wp:docPr id="3" name="Picture 3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8"/>
    <w:bookmarkEnd w:id="19"/>
    <w:r w:rsidR="00C550C5" w:rsidRPr="00B17B69">
      <w:rPr>
        <w:rFonts w:ascii="IranNastaliq" w:hAnsi="IranNastaliq" w:cs="IranNastaliq"/>
        <w:sz w:val="40"/>
        <w:szCs w:val="40"/>
        <w:rtl/>
      </w:rPr>
      <w:t>شماره ثبت:</w:t>
    </w:r>
    <w:r w:rsidR="00C550C5">
      <w:rPr>
        <w:rFonts w:ascii="IranNastaliq" w:hAnsi="IranNastaliq" w:cs="IranNastaliq"/>
        <w:sz w:val="40"/>
        <w:szCs w:val="40"/>
      </w:rPr>
      <w:t>843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ABC" w:rsidRDefault="002B4A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39B2"/>
    <w:multiLevelType w:val="hybridMultilevel"/>
    <w:tmpl w:val="46244B94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3CC179C4"/>
    <w:multiLevelType w:val="hybridMultilevel"/>
    <w:tmpl w:val="3FC49FC0"/>
    <w:lvl w:ilvl="0" w:tplc="0409000F">
      <w:start w:val="1"/>
      <w:numFmt w:val="decimal"/>
      <w:lvlText w:val="%1."/>
      <w:lvlJc w:val="left"/>
      <w:pPr>
        <w:ind w:left="1504" w:hanging="360"/>
      </w:pPr>
    </w:lvl>
    <w:lvl w:ilvl="1" w:tplc="04090019" w:tentative="1">
      <w:start w:val="1"/>
      <w:numFmt w:val="lowerLetter"/>
      <w:lvlText w:val="%2."/>
      <w:lvlJc w:val="left"/>
      <w:pPr>
        <w:ind w:left="2224" w:hanging="360"/>
      </w:pPr>
    </w:lvl>
    <w:lvl w:ilvl="2" w:tplc="0409001B" w:tentative="1">
      <w:start w:val="1"/>
      <w:numFmt w:val="lowerRoman"/>
      <w:lvlText w:val="%3."/>
      <w:lvlJc w:val="right"/>
      <w:pPr>
        <w:ind w:left="2944" w:hanging="180"/>
      </w:pPr>
    </w:lvl>
    <w:lvl w:ilvl="3" w:tplc="0409000F" w:tentative="1">
      <w:start w:val="1"/>
      <w:numFmt w:val="decimal"/>
      <w:lvlText w:val="%4."/>
      <w:lvlJc w:val="left"/>
      <w:pPr>
        <w:ind w:left="3664" w:hanging="360"/>
      </w:pPr>
    </w:lvl>
    <w:lvl w:ilvl="4" w:tplc="04090019" w:tentative="1">
      <w:start w:val="1"/>
      <w:numFmt w:val="lowerLetter"/>
      <w:lvlText w:val="%5."/>
      <w:lvlJc w:val="left"/>
      <w:pPr>
        <w:ind w:left="4384" w:hanging="360"/>
      </w:pPr>
    </w:lvl>
    <w:lvl w:ilvl="5" w:tplc="0409001B" w:tentative="1">
      <w:start w:val="1"/>
      <w:numFmt w:val="lowerRoman"/>
      <w:lvlText w:val="%6."/>
      <w:lvlJc w:val="right"/>
      <w:pPr>
        <w:ind w:left="5104" w:hanging="180"/>
      </w:pPr>
    </w:lvl>
    <w:lvl w:ilvl="6" w:tplc="0409000F" w:tentative="1">
      <w:start w:val="1"/>
      <w:numFmt w:val="decimal"/>
      <w:lvlText w:val="%7."/>
      <w:lvlJc w:val="left"/>
      <w:pPr>
        <w:ind w:left="5824" w:hanging="360"/>
      </w:pPr>
    </w:lvl>
    <w:lvl w:ilvl="7" w:tplc="04090019" w:tentative="1">
      <w:start w:val="1"/>
      <w:numFmt w:val="lowerLetter"/>
      <w:lvlText w:val="%8."/>
      <w:lvlJc w:val="left"/>
      <w:pPr>
        <w:ind w:left="6544" w:hanging="360"/>
      </w:pPr>
    </w:lvl>
    <w:lvl w:ilvl="8" w:tplc="04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">
    <w:nsid w:val="49D70FE5"/>
    <w:multiLevelType w:val="hybridMultilevel"/>
    <w:tmpl w:val="15D4CA7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628B4742"/>
    <w:multiLevelType w:val="hybridMultilevel"/>
    <w:tmpl w:val="0D6A0560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4">
    <w:nsid w:val="6AD65062"/>
    <w:multiLevelType w:val="hybridMultilevel"/>
    <w:tmpl w:val="20B2B1D6"/>
    <w:lvl w:ilvl="0" w:tplc="04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33"/>
    <w:rsid w:val="000176BC"/>
    <w:rsid w:val="000257CE"/>
    <w:rsid w:val="00027C96"/>
    <w:rsid w:val="00061DDB"/>
    <w:rsid w:val="00065DEA"/>
    <w:rsid w:val="00093436"/>
    <w:rsid w:val="000B328E"/>
    <w:rsid w:val="000C7707"/>
    <w:rsid w:val="000D50EE"/>
    <w:rsid w:val="001007B8"/>
    <w:rsid w:val="00114323"/>
    <w:rsid w:val="00117911"/>
    <w:rsid w:val="0013532B"/>
    <w:rsid w:val="00157D98"/>
    <w:rsid w:val="001844B7"/>
    <w:rsid w:val="001F7B55"/>
    <w:rsid w:val="002050D5"/>
    <w:rsid w:val="002339D2"/>
    <w:rsid w:val="002A34F1"/>
    <w:rsid w:val="002B32B2"/>
    <w:rsid w:val="002B4ABC"/>
    <w:rsid w:val="002C1F27"/>
    <w:rsid w:val="002D4ACD"/>
    <w:rsid w:val="00314420"/>
    <w:rsid w:val="00341442"/>
    <w:rsid w:val="00395B8B"/>
    <w:rsid w:val="003E61A6"/>
    <w:rsid w:val="003F77EC"/>
    <w:rsid w:val="00404B69"/>
    <w:rsid w:val="00404D73"/>
    <w:rsid w:val="00421DD6"/>
    <w:rsid w:val="00467529"/>
    <w:rsid w:val="004C3C6C"/>
    <w:rsid w:val="004F0EF9"/>
    <w:rsid w:val="004F5672"/>
    <w:rsid w:val="004F684F"/>
    <w:rsid w:val="00507170"/>
    <w:rsid w:val="005540C8"/>
    <w:rsid w:val="005B4BE2"/>
    <w:rsid w:val="005D0F09"/>
    <w:rsid w:val="005F48DC"/>
    <w:rsid w:val="00640309"/>
    <w:rsid w:val="006C3B63"/>
    <w:rsid w:val="006F2CA8"/>
    <w:rsid w:val="007339F8"/>
    <w:rsid w:val="00762DA0"/>
    <w:rsid w:val="00787CC7"/>
    <w:rsid w:val="00794FB7"/>
    <w:rsid w:val="007D2F5D"/>
    <w:rsid w:val="008B4FF6"/>
    <w:rsid w:val="008C1209"/>
    <w:rsid w:val="008D3216"/>
    <w:rsid w:val="008E2465"/>
    <w:rsid w:val="008F7692"/>
    <w:rsid w:val="00902684"/>
    <w:rsid w:val="00952C9A"/>
    <w:rsid w:val="009762A9"/>
    <w:rsid w:val="009A5E11"/>
    <w:rsid w:val="009E58AA"/>
    <w:rsid w:val="009F78C9"/>
    <w:rsid w:val="00A53988"/>
    <w:rsid w:val="00A61F16"/>
    <w:rsid w:val="00A7495D"/>
    <w:rsid w:val="00AC1AFE"/>
    <w:rsid w:val="00B20B33"/>
    <w:rsid w:val="00B223C8"/>
    <w:rsid w:val="00B329A1"/>
    <w:rsid w:val="00B36156"/>
    <w:rsid w:val="00B511EE"/>
    <w:rsid w:val="00B714E1"/>
    <w:rsid w:val="00B81F54"/>
    <w:rsid w:val="00BA28C4"/>
    <w:rsid w:val="00BA795F"/>
    <w:rsid w:val="00BB1193"/>
    <w:rsid w:val="00BB2D35"/>
    <w:rsid w:val="00BC3633"/>
    <w:rsid w:val="00C10450"/>
    <w:rsid w:val="00C16332"/>
    <w:rsid w:val="00C5216E"/>
    <w:rsid w:val="00C550C5"/>
    <w:rsid w:val="00CE1B92"/>
    <w:rsid w:val="00CF6DCC"/>
    <w:rsid w:val="00D11B13"/>
    <w:rsid w:val="00D17925"/>
    <w:rsid w:val="00D23ADA"/>
    <w:rsid w:val="00D5479B"/>
    <w:rsid w:val="00D73D21"/>
    <w:rsid w:val="00DB3B31"/>
    <w:rsid w:val="00DD520D"/>
    <w:rsid w:val="00DE4B73"/>
    <w:rsid w:val="00E27D2E"/>
    <w:rsid w:val="00F1173B"/>
    <w:rsid w:val="00F316BD"/>
    <w:rsid w:val="00F34A46"/>
    <w:rsid w:val="00F41B37"/>
    <w:rsid w:val="00F815C2"/>
    <w:rsid w:val="00F85E68"/>
    <w:rsid w:val="00FB0456"/>
    <w:rsid w:val="00FD615E"/>
    <w:rsid w:val="00FE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FD6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1007B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E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421DD6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421DD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1DD6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FD6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D615E"/>
    <w:pPr>
      <w:spacing w:after="100"/>
    </w:pPr>
  </w:style>
  <w:style w:type="character" w:styleId="ae">
    <w:name w:val="Hyperlink"/>
    <w:basedOn w:val="a0"/>
    <w:uiPriority w:val="99"/>
    <w:unhideWhenUsed/>
    <w:rsid w:val="00FD615E"/>
    <w:rPr>
      <w:color w:val="0000FF" w:themeColor="hyperlink"/>
      <w:u w:val="single"/>
    </w:rPr>
  </w:style>
  <w:style w:type="character" w:customStyle="1" w:styleId="20">
    <w:name w:val="عنوان 2 نویسه"/>
    <w:basedOn w:val="a0"/>
    <w:link w:val="2"/>
    <w:uiPriority w:val="9"/>
    <w:rsid w:val="00065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065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065DE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65DE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156"/>
  </w:style>
  <w:style w:type="paragraph" w:styleId="1">
    <w:name w:val="heading 1"/>
    <w:basedOn w:val="a"/>
    <w:next w:val="a"/>
    <w:link w:val="10"/>
    <w:uiPriority w:val="9"/>
    <w:qFormat/>
    <w:rsid w:val="00FD6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65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65D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B20B33"/>
  </w:style>
  <w:style w:type="paragraph" w:styleId="a5">
    <w:name w:val="footer"/>
    <w:basedOn w:val="a"/>
    <w:link w:val="a6"/>
    <w:uiPriority w:val="99"/>
    <w:unhideWhenUsed/>
    <w:rsid w:val="00B20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B20B33"/>
  </w:style>
  <w:style w:type="table" w:styleId="a7">
    <w:name w:val="Table Grid"/>
    <w:basedOn w:val="a1"/>
    <w:uiPriority w:val="59"/>
    <w:rsid w:val="00B20B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00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متن بادکنک نویسه"/>
    <w:basedOn w:val="a0"/>
    <w:link w:val="a8"/>
    <w:uiPriority w:val="99"/>
    <w:semiHidden/>
    <w:rsid w:val="001007B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E2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421DD6"/>
    <w:pPr>
      <w:spacing w:after="0" w:line="240" w:lineRule="auto"/>
    </w:pPr>
    <w:rPr>
      <w:sz w:val="20"/>
      <w:szCs w:val="20"/>
    </w:rPr>
  </w:style>
  <w:style w:type="character" w:customStyle="1" w:styleId="ac">
    <w:name w:val="متن پاورقی نویسه"/>
    <w:basedOn w:val="a0"/>
    <w:link w:val="ab"/>
    <w:uiPriority w:val="99"/>
    <w:semiHidden/>
    <w:rsid w:val="00421DD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21DD6"/>
    <w:rPr>
      <w:vertAlign w:val="superscript"/>
    </w:rPr>
  </w:style>
  <w:style w:type="character" w:customStyle="1" w:styleId="10">
    <w:name w:val="عنوان 1 نویسه"/>
    <w:basedOn w:val="a0"/>
    <w:link w:val="1"/>
    <w:uiPriority w:val="9"/>
    <w:rsid w:val="00FD6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D615E"/>
    <w:pPr>
      <w:spacing w:after="100"/>
    </w:pPr>
  </w:style>
  <w:style w:type="character" w:styleId="ae">
    <w:name w:val="Hyperlink"/>
    <w:basedOn w:val="a0"/>
    <w:uiPriority w:val="99"/>
    <w:unhideWhenUsed/>
    <w:rsid w:val="00FD615E"/>
    <w:rPr>
      <w:color w:val="0000FF" w:themeColor="hyperlink"/>
      <w:u w:val="single"/>
    </w:rPr>
  </w:style>
  <w:style w:type="character" w:customStyle="1" w:styleId="20">
    <w:name w:val="عنوان 2 نویسه"/>
    <w:basedOn w:val="a0"/>
    <w:link w:val="2"/>
    <w:uiPriority w:val="9"/>
    <w:rsid w:val="00065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عنوان 3 نویسه"/>
    <w:basedOn w:val="a0"/>
    <w:link w:val="3"/>
    <w:uiPriority w:val="9"/>
    <w:rsid w:val="00065DE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toc 2"/>
    <w:basedOn w:val="a"/>
    <w:next w:val="a"/>
    <w:autoRedefine/>
    <w:uiPriority w:val="39"/>
    <w:unhideWhenUsed/>
    <w:rsid w:val="00065DEA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065DE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9FC3F-EBE3-49DF-B59A-C2ECDD2E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2939</Words>
  <Characters>16753</Characters>
  <Application>Microsoft Office Word</Application>
  <DocSecurity>0</DocSecurity>
  <Lines>139</Lines>
  <Paragraphs>39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110</cp:lastModifiedBy>
  <cp:revision>5</cp:revision>
  <dcterms:created xsi:type="dcterms:W3CDTF">2015-06-17T08:08:00Z</dcterms:created>
  <dcterms:modified xsi:type="dcterms:W3CDTF">2015-08-01T17:52:00Z</dcterms:modified>
</cp:coreProperties>
</file>