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F2" w:rsidRPr="00FB7887" w:rsidRDefault="00E216F2" w:rsidP="00EA6546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bookmarkStart w:id="0" w:name="_GoBack"/>
      <w:r w:rsidRPr="00FB788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بسم </w:t>
      </w:r>
      <w:bookmarkEnd w:id="0"/>
      <w:r w:rsidRPr="00FB7887">
        <w:rPr>
          <w:rFonts w:ascii="IRBadr" w:hAnsi="IRBadr" w:cs="IRBadr"/>
          <w:b/>
          <w:bCs/>
          <w:sz w:val="28"/>
          <w:szCs w:val="28"/>
          <w:rtl/>
          <w:lang w:bidi="fa-IR"/>
        </w:rPr>
        <w:t>الله الرحمن الرحیم</w:t>
      </w:r>
    </w:p>
    <w:p w:rsidR="00EA6546" w:rsidRPr="00FB7887" w:rsidRDefault="00EA6546" w:rsidP="00EA6546">
      <w:pPr>
        <w:bidi/>
        <w:jc w:val="both"/>
        <w:rPr>
          <w:rFonts w:ascii="IRBadr" w:hAnsi="IRBadr" w:cs="IRBadr"/>
          <w:noProof/>
        </w:rPr>
      </w:pPr>
      <w:r w:rsidRPr="00FB7887">
        <w:rPr>
          <w:rFonts w:ascii="IRBadr" w:hAnsi="IRBadr" w:cs="IRBadr"/>
          <w:b/>
          <w:bCs/>
          <w:sz w:val="28"/>
          <w:szCs w:val="28"/>
          <w:rtl/>
          <w:lang w:bidi="fa-IR"/>
        </w:rPr>
        <w:t>فهرست مطالب:</w:t>
      </w:r>
      <w:r w:rsidRPr="00FB7887">
        <w:rPr>
          <w:rFonts w:ascii="IRBadr" w:hAnsi="IRBadr" w:cs="IRBadr"/>
          <w:b/>
          <w:bCs/>
          <w:sz w:val="28"/>
          <w:szCs w:val="28"/>
          <w:lang w:bidi="fa-IR"/>
        </w:rPr>
        <w:fldChar w:fldCharType="begin"/>
      </w:r>
      <w:r w:rsidRPr="00FB7887">
        <w:rPr>
          <w:rFonts w:ascii="IRBadr" w:hAnsi="IRBadr" w:cs="IRBadr"/>
          <w:b/>
          <w:bCs/>
          <w:sz w:val="28"/>
          <w:szCs w:val="28"/>
          <w:lang w:bidi="fa-IR"/>
        </w:rPr>
        <w:instrText xml:space="preserve"> TOC \o "1-4" \h \z \u </w:instrText>
      </w:r>
      <w:r w:rsidRPr="00FB7887">
        <w:rPr>
          <w:rFonts w:ascii="IRBadr" w:hAnsi="IRBadr" w:cs="IRBadr"/>
          <w:b/>
          <w:bCs/>
          <w:sz w:val="28"/>
          <w:szCs w:val="28"/>
          <w:lang w:bidi="fa-IR"/>
        </w:rPr>
        <w:fldChar w:fldCharType="separate"/>
      </w:r>
    </w:p>
    <w:p w:rsidR="00EA6546" w:rsidRPr="00FB7887" w:rsidRDefault="00F54557" w:rsidP="00EA6546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882594" w:history="1">
        <w:r w:rsidR="00EA6546" w:rsidRPr="00FB7887">
          <w:rPr>
            <w:rStyle w:val="Hyperlink"/>
            <w:rFonts w:ascii="IRBadr" w:hAnsi="IRBadr" w:cs="IRBadr"/>
            <w:noProof/>
            <w:rtl/>
          </w:rPr>
          <w:t>جایگاه احتیاط در باب حدود</w:t>
        </w:r>
        <w:r w:rsidR="00EA6546" w:rsidRPr="00FB7887">
          <w:rPr>
            <w:rFonts w:ascii="IRBadr" w:hAnsi="IRBadr" w:cs="IRBadr"/>
            <w:noProof/>
            <w:webHidden/>
          </w:rPr>
          <w:tab/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A6546" w:rsidRPr="00FB7887">
          <w:rPr>
            <w:rFonts w:ascii="IRBadr" w:hAnsi="IRBadr" w:cs="IRBadr"/>
            <w:noProof/>
            <w:webHidden/>
          </w:rPr>
          <w:instrText xml:space="preserve"> PAGEREF _Toc427882594 \h </w:instrText>
        </w:r>
        <w:r w:rsidR="00EA6546" w:rsidRPr="00FB7887">
          <w:rPr>
            <w:rStyle w:val="Hyperlink"/>
            <w:rFonts w:ascii="IRBadr" w:hAnsi="IRBadr" w:cs="IRBadr"/>
            <w:noProof/>
            <w:rtl/>
          </w:rPr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A6546" w:rsidRPr="00FB7887">
          <w:rPr>
            <w:rFonts w:ascii="IRBadr" w:hAnsi="IRBadr" w:cs="IRBadr"/>
            <w:noProof/>
            <w:webHidden/>
          </w:rPr>
          <w:t>2</w:t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A6546" w:rsidRPr="00FB7887" w:rsidRDefault="00F54557" w:rsidP="00EA6546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882595" w:history="1">
        <w:r w:rsidR="00EA6546" w:rsidRPr="00FB7887">
          <w:rPr>
            <w:rStyle w:val="Hyperlink"/>
            <w:rFonts w:ascii="IRBadr" w:hAnsi="IRBadr" w:cs="IRBadr"/>
            <w:noProof/>
            <w:rtl/>
          </w:rPr>
          <w:t>اشکال به تحریر</w:t>
        </w:r>
        <w:r w:rsidR="00EA6546" w:rsidRPr="00FB7887">
          <w:rPr>
            <w:rFonts w:ascii="IRBadr" w:hAnsi="IRBadr" w:cs="IRBadr"/>
            <w:noProof/>
            <w:webHidden/>
          </w:rPr>
          <w:tab/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A6546" w:rsidRPr="00FB7887">
          <w:rPr>
            <w:rFonts w:ascii="IRBadr" w:hAnsi="IRBadr" w:cs="IRBadr"/>
            <w:noProof/>
            <w:webHidden/>
          </w:rPr>
          <w:instrText xml:space="preserve"> PAGEREF _Toc427882595 \h </w:instrText>
        </w:r>
        <w:r w:rsidR="00EA6546" w:rsidRPr="00FB7887">
          <w:rPr>
            <w:rStyle w:val="Hyperlink"/>
            <w:rFonts w:ascii="IRBadr" w:hAnsi="IRBadr" w:cs="IRBadr"/>
            <w:noProof/>
            <w:rtl/>
          </w:rPr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A6546" w:rsidRPr="00FB7887">
          <w:rPr>
            <w:rFonts w:ascii="IRBadr" w:hAnsi="IRBadr" w:cs="IRBadr"/>
            <w:noProof/>
            <w:webHidden/>
          </w:rPr>
          <w:t>2</w:t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A6546" w:rsidRPr="00FB7887" w:rsidRDefault="00F54557" w:rsidP="00EA6546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882596" w:history="1">
        <w:r w:rsidR="00FB7887">
          <w:rPr>
            <w:rStyle w:val="Hyperlink"/>
            <w:rFonts w:ascii="IRBadr" w:hAnsi="IRBadr" w:cs="IRBadr"/>
            <w:noProof/>
            <w:rtl/>
          </w:rPr>
          <w:t>جمع‌بندی</w:t>
        </w:r>
        <w:r w:rsidR="00EA6546" w:rsidRPr="00FB7887">
          <w:rPr>
            <w:rFonts w:ascii="IRBadr" w:hAnsi="IRBadr" w:cs="IRBadr"/>
            <w:noProof/>
            <w:webHidden/>
          </w:rPr>
          <w:tab/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A6546" w:rsidRPr="00FB7887">
          <w:rPr>
            <w:rFonts w:ascii="IRBadr" w:hAnsi="IRBadr" w:cs="IRBadr"/>
            <w:noProof/>
            <w:webHidden/>
          </w:rPr>
          <w:instrText xml:space="preserve"> PAGEREF _Toc427882596 \h </w:instrText>
        </w:r>
        <w:r w:rsidR="00EA6546" w:rsidRPr="00FB7887">
          <w:rPr>
            <w:rStyle w:val="Hyperlink"/>
            <w:rFonts w:ascii="IRBadr" w:hAnsi="IRBadr" w:cs="IRBadr"/>
            <w:noProof/>
            <w:rtl/>
          </w:rPr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A6546" w:rsidRPr="00FB7887">
          <w:rPr>
            <w:rFonts w:ascii="IRBadr" w:hAnsi="IRBadr" w:cs="IRBadr"/>
            <w:noProof/>
            <w:webHidden/>
          </w:rPr>
          <w:t>2</w:t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A6546" w:rsidRPr="00FB7887" w:rsidRDefault="00F54557" w:rsidP="00EA654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882597" w:history="1">
        <w:r w:rsidR="00FB7887">
          <w:rPr>
            <w:rStyle w:val="Hyperlink"/>
            <w:rFonts w:ascii="IRBadr" w:hAnsi="IRBadr" w:cs="IRBadr"/>
            <w:noProof/>
            <w:rtl/>
          </w:rPr>
          <w:t>شرایط</w:t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t xml:space="preserve"> پذیرش اقرار</w:t>
        </w:r>
        <w:r w:rsidR="00EA6546" w:rsidRPr="00FB7887">
          <w:rPr>
            <w:rFonts w:ascii="IRBadr" w:hAnsi="IRBadr" w:cs="IRBadr"/>
            <w:noProof/>
            <w:webHidden/>
          </w:rPr>
          <w:tab/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A6546" w:rsidRPr="00FB7887">
          <w:rPr>
            <w:rFonts w:ascii="IRBadr" w:hAnsi="IRBadr" w:cs="IRBadr"/>
            <w:noProof/>
            <w:webHidden/>
          </w:rPr>
          <w:instrText xml:space="preserve"> PAGEREF _Toc427882597 \h </w:instrText>
        </w:r>
        <w:r w:rsidR="00EA6546" w:rsidRPr="00FB7887">
          <w:rPr>
            <w:rStyle w:val="Hyperlink"/>
            <w:rFonts w:ascii="IRBadr" w:hAnsi="IRBadr" w:cs="IRBadr"/>
            <w:noProof/>
            <w:rtl/>
          </w:rPr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A6546" w:rsidRPr="00FB7887">
          <w:rPr>
            <w:rFonts w:ascii="IRBadr" w:hAnsi="IRBadr" w:cs="IRBadr"/>
            <w:noProof/>
            <w:webHidden/>
          </w:rPr>
          <w:t>3</w:t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A6546" w:rsidRPr="00FB7887" w:rsidRDefault="00F54557" w:rsidP="00EA654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882598" w:history="1">
        <w:r w:rsidR="00EA6546" w:rsidRPr="00FB7887">
          <w:rPr>
            <w:rStyle w:val="Hyperlink"/>
            <w:rFonts w:ascii="IRBadr" w:hAnsi="IRBadr" w:cs="IRBadr"/>
            <w:noProof/>
            <w:rtl/>
          </w:rPr>
          <w:t>اقرار با بیان عذر</w:t>
        </w:r>
        <w:r w:rsidR="00EA6546" w:rsidRPr="00FB7887">
          <w:rPr>
            <w:rFonts w:ascii="IRBadr" w:hAnsi="IRBadr" w:cs="IRBadr"/>
            <w:noProof/>
            <w:webHidden/>
          </w:rPr>
          <w:tab/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A6546" w:rsidRPr="00FB7887">
          <w:rPr>
            <w:rFonts w:ascii="IRBadr" w:hAnsi="IRBadr" w:cs="IRBadr"/>
            <w:noProof/>
            <w:webHidden/>
          </w:rPr>
          <w:instrText xml:space="preserve"> PAGEREF _Toc427882598 \h </w:instrText>
        </w:r>
        <w:r w:rsidR="00EA6546" w:rsidRPr="00FB7887">
          <w:rPr>
            <w:rStyle w:val="Hyperlink"/>
            <w:rFonts w:ascii="IRBadr" w:hAnsi="IRBadr" w:cs="IRBadr"/>
            <w:noProof/>
            <w:rtl/>
          </w:rPr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A6546" w:rsidRPr="00FB7887">
          <w:rPr>
            <w:rFonts w:ascii="IRBadr" w:hAnsi="IRBadr" w:cs="IRBadr"/>
            <w:noProof/>
            <w:webHidden/>
          </w:rPr>
          <w:t>3</w:t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A6546" w:rsidRPr="00FB7887" w:rsidRDefault="00F54557" w:rsidP="00EA654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882599" w:history="1">
        <w:r w:rsidR="00EA6546" w:rsidRPr="00FB7887">
          <w:rPr>
            <w:rStyle w:val="Hyperlink"/>
            <w:rFonts w:ascii="IRBadr" w:hAnsi="IRBadr" w:cs="IRBadr"/>
            <w:noProof/>
            <w:rtl/>
          </w:rPr>
          <w:t>اقرار همراه با انفصال</w:t>
        </w:r>
        <w:r w:rsidR="00EA6546" w:rsidRPr="00FB7887">
          <w:rPr>
            <w:rFonts w:ascii="IRBadr" w:hAnsi="IRBadr" w:cs="IRBadr"/>
            <w:noProof/>
            <w:webHidden/>
          </w:rPr>
          <w:tab/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A6546" w:rsidRPr="00FB7887">
          <w:rPr>
            <w:rFonts w:ascii="IRBadr" w:hAnsi="IRBadr" w:cs="IRBadr"/>
            <w:noProof/>
            <w:webHidden/>
          </w:rPr>
          <w:instrText xml:space="preserve"> PAGEREF _Toc427882599 \h </w:instrText>
        </w:r>
        <w:r w:rsidR="00EA6546" w:rsidRPr="00FB7887">
          <w:rPr>
            <w:rStyle w:val="Hyperlink"/>
            <w:rFonts w:ascii="IRBadr" w:hAnsi="IRBadr" w:cs="IRBadr"/>
            <w:noProof/>
            <w:rtl/>
          </w:rPr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A6546" w:rsidRPr="00FB7887">
          <w:rPr>
            <w:rFonts w:ascii="IRBadr" w:hAnsi="IRBadr" w:cs="IRBadr"/>
            <w:noProof/>
            <w:webHidden/>
          </w:rPr>
          <w:t>3</w:t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A6546" w:rsidRPr="00FB7887" w:rsidRDefault="00F54557" w:rsidP="00EA654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882600" w:history="1">
        <w:r w:rsidR="00EA6546" w:rsidRPr="00FB7887">
          <w:rPr>
            <w:rStyle w:val="Hyperlink"/>
            <w:rFonts w:ascii="IRBadr" w:hAnsi="IRBadr" w:cs="IRBadr"/>
            <w:noProof/>
            <w:rtl/>
          </w:rPr>
          <w:t>اقرارات مطلق</w:t>
        </w:r>
        <w:r w:rsidR="00EA6546" w:rsidRPr="00FB7887">
          <w:rPr>
            <w:rFonts w:ascii="IRBadr" w:hAnsi="IRBadr" w:cs="IRBadr"/>
            <w:noProof/>
            <w:webHidden/>
          </w:rPr>
          <w:tab/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A6546" w:rsidRPr="00FB7887">
          <w:rPr>
            <w:rFonts w:ascii="IRBadr" w:hAnsi="IRBadr" w:cs="IRBadr"/>
            <w:noProof/>
            <w:webHidden/>
          </w:rPr>
          <w:instrText xml:space="preserve"> PAGEREF _Toc427882600 \h </w:instrText>
        </w:r>
        <w:r w:rsidR="00EA6546" w:rsidRPr="00FB7887">
          <w:rPr>
            <w:rStyle w:val="Hyperlink"/>
            <w:rFonts w:ascii="IRBadr" w:hAnsi="IRBadr" w:cs="IRBadr"/>
            <w:noProof/>
            <w:rtl/>
          </w:rPr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A6546" w:rsidRPr="00FB7887">
          <w:rPr>
            <w:rFonts w:ascii="IRBadr" w:hAnsi="IRBadr" w:cs="IRBadr"/>
            <w:noProof/>
            <w:webHidden/>
          </w:rPr>
          <w:t>3</w:t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A6546" w:rsidRPr="00FB7887" w:rsidRDefault="00F54557" w:rsidP="00EA654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882601" w:history="1">
        <w:r w:rsidR="00EA6546" w:rsidRPr="00FB7887">
          <w:rPr>
            <w:rStyle w:val="Hyperlink"/>
            <w:rFonts w:ascii="IRBadr" w:hAnsi="IRBadr" w:cs="IRBadr"/>
            <w:noProof/>
            <w:rtl/>
          </w:rPr>
          <w:t>شرط اطمینان در این صورت</w:t>
        </w:r>
        <w:r w:rsidR="00EA6546" w:rsidRPr="00FB7887">
          <w:rPr>
            <w:rFonts w:ascii="IRBadr" w:hAnsi="IRBadr" w:cs="IRBadr"/>
            <w:noProof/>
            <w:webHidden/>
          </w:rPr>
          <w:tab/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A6546" w:rsidRPr="00FB7887">
          <w:rPr>
            <w:rFonts w:ascii="IRBadr" w:hAnsi="IRBadr" w:cs="IRBadr"/>
            <w:noProof/>
            <w:webHidden/>
          </w:rPr>
          <w:instrText xml:space="preserve"> PAGEREF _Toc427882601 \h </w:instrText>
        </w:r>
        <w:r w:rsidR="00EA6546" w:rsidRPr="00FB7887">
          <w:rPr>
            <w:rStyle w:val="Hyperlink"/>
            <w:rFonts w:ascii="IRBadr" w:hAnsi="IRBadr" w:cs="IRBadr"/>
            <w:noProof/>
            <w:rtl/>
          </w:rPr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A6546" w:rsidRPr="00FB7887">
          <w:rPr>
            <w:rFonts w:ascii="IRBadr" w:hAnsi="IRBadr" w:cs="IRBadr"/>
            <w:noProof/>
            <w:webHidden/>
          </w:rPr>
          <w:t>4</w:t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A6546" w:rsidRPr="00FB7887" w:rsidRDefault="00F54557" w:rsidP="00EA654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882602" w:history="1">
        <w:r w:rsidR="00EA6546" w:rsidRPr="00FB7887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EA6546" w:rsidRPr="00FB7887">
          <w:rPr>
            <w:rFonts w:ascii="IRBadr" w:hAnsi="IRBadr" w:cs="IRBadr"/>
            <w:noProof/>
            <w:webHidden/>
          </w:rPr>
          <w:tab/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A6546" w:rsidRPr="00FB7887">
          <w:rPr>
            <w:rFonts w:ascii="IRBadr" w:hAnsi="IRBadr" w:cs="IRBadr"/>
            <w:noProof/>
            <w:webHidden/>
          </w:rPr>
          <w:instrText xml:space="preserve"> PAGEREF _Toc427882602 \h </w:instrText>
        </w:r>
        <w:r w:rsidR="00EA6546" w:rsidRPr="00FB7887">
          <w:rPr>
            <w:rStyle w:val="Hyperlink"/>
            <w:rFonts w:ascii="IRBadr" w:hAnsi="IRBadr" w:cs="IRBadr"/>
            <w:noProof/>
            <w:rtl/>
          </w:rPr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A6546" w:rsidRPr="00FB7887">
          <w:rPr>
            <w:rFonts w:ascii="IRBadr" w:hAnsi="IRBadr" w:cs="IRBadr"/>
            <w:noProof/>
            <w:webHidden/>
          </w:rPr>
          <w:t>4</w:t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A6546" w:rsidRPr="00FB7887" w:rsidRDefault="00F54557" w:rsidP="00EA654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882603" w:history="1">
        <w:r w:rsidR="00EA6546" w:rsidRPr="00FB7887">
          <w:rPr>
            <w:rStyle w:val="Hyperlink"/>
            <w:rFonts w:ascii="IRBadr" w:hAnsi="IRBadr" w:cs="IRBadr"/>
            <w:noProof/>
            <w:rtl/>
          </w:rPr>
          <w:t>اعتماد به بینه در این باب</w:t>
        </w:r>
        <w:r w:rsidR="00EA6546" w:rsidRPr="00FB7887">
          <w:rPr>
            <w:rFonts w:ascii="IRBadr" w:hAnsi="IRBadr" w:cs="IRBadr"/>
            <w:noProof/>
            <w:webHidden/>
          </w:rPr>
          <w:tab/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A6546" w:rsidRPr="00FB7887">
          <w:rPr>
            <w:rFonts w:ascii="IRBadr" w:hAnsi="IRBadr" w:cs="IRBadr"/>
            <w:noProof/>
            <w:webHidden/>
          </w:rPr>
          <w:instrText xml:space="preserve"> PAGEREF _Toc427882603 \h </w:instrText>
        </w:r>
        <w:r w:rsidR="00EA6546" w:rsidRPr="00FB7887">
          <w:rPr>
            <w:rStyle w:val="Hyperlink"/>
            <w:rFonts w:ascii="IRBadr" w:hAnsi="IRBadr" w:cs="IRBadr"/>
            <w:noProof/>
            <w:rtl/>
          </w:rPr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A6546" w:rsidRPr="00FB7887">
          <w:rPr>
            <w:rFonts w:ascii="IRBadr" w:hAnsi="IRBadr" w:cs="IRBadr"/>
            <w:noProof/>
            <w:webHidden/>
          </w:rPr>
          <w:t>5</w:t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A6546" w:rsidRPr="00FB7887" w:rsidRDefault="00F54557" w:rsidP="00EA6546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882604" w:history="1">
        <w:r w:rsidR="00EA6546" w:rsidRPr="00FB7887">
          <w:rPr>
            <w:rStyle w:val="Hyperlink"/>
            <w:rFonts w:ascii="IRBadr" w:hAnsi="IRBadr" w:cs="IRBadr"/>
            <w:noProof/>
            <w:rtl/>
          </w:rPr>
          <w:t>مسأله هشتم :اقرار بالبینة</w:t>
        </w:r>
        <w:r w:rsidR="00EA6546" w:rsidRPr="00FB7887">
          <w:rPr>
            <w:rFonts w:ascii="IRBadr" w:hAnsi="IRBadr" w:cs="IRBadr"/>
            <w:noProof/>
            <w:webHidden/>
          </w:rPr>
          <w:tab/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A6546" w:rsidRPr="00FB7887">
          <w:rPr>
            <w:rFonts w:ascii="IRBadr" w:hAnsi="IRBadr" w:cs="IRBadr"/>
            <w:noProof/>
            <w:webHidden/>
          </w:rPr>
          <w:instrText xml:space="preserve"> PAGEREF _Toc427882604 \h </w:instrText>
        </w:r>
        <w:r w:rsidR="00EA6546" w:rsidRPr="00FB7887">
          <w:rPr>
            <w:rStyle w:val="Hyperlink"/>
            <w:rFonts w:ascii="IRBadr" w:hAnsi="IRBadr" w:cs="IRBadr"/>
            <w:noProof/>
            <w:rtl/>
          </w:rPr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A6546" w:rsidRPr="00FB7887">
          <w:rPr>
            <w:rFonts w:ascii="IRBadr" w:hAnsi="IRBadr" w:cs="IRBadr"/>
            <w:noProof/>
            <w:webHidden/>
          </w:rPr>
          <w:t>5</w:t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A6546" w:rsidRPr="00FB7887" w:rsidRDefault="00F54557" w:rsidP="00EA6546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882605" w:history="1">
        <w:r w:rsidR="00EA6546" w:rsidRPr="00FB7887">
          <w:rPr>
            <w:rStyle w:val="Hyperlink"/>
            <w:rFonts w:ascii="IRBadr" w:hAnsi="IRBadr" w:cs="IRBadr"/>
            <w:noProof/>
            <w:rtl/>
          </w:rPr>
          <w:t>اصل در بینه</w:t>
        </w:r>
        <w:r w:rsidR="00EA6546" w:rsidRPr="00FB7887">
          <w:rPr>
            <w:rFonts w:ascii="IRBadr" w:hAnsi="IRBadr" w:cs="IRBadr"/>
            <w:noProof/>
            <w:webHidden/>
          </w:rPr>
          <w:tab/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A6546" w:rsidRPr="00FB7887">
          <w:rPr>
            <w:rFonts w:ascii="IRBadr" w:hAnsi="IRBadr" w:cs="IRBadr"/>
            <w:noProof/>
            <w:webHidden/>
          </w:rPr>
          <w:instrText xml:space="preserve"> PAGEREF _Toc427882605 \h </w:instrText>
        </w:r>
        <w:r w:rsidR="00EA6546" w:rsidRPr="00FB7887">
          <w:rPr>
            <w:rStyle w:val="Hyperlink"/>
            <w:rFonts w:ascii="IRBadr" w:hAnsi="IRBadr" w:cs="IRBadr"/>
            <w:noProof/>
            <w:rtl/>
          </w:rPr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A6546" w:rsidRPr="00FB7887">
          <w:rPr>
            <w:rFonts w:ascii="IRBadr" w:hAnsi="IRBadr" w:cs="IRBadr"/>
            <w:noProof/>
            <w:webHidden/>
          </w:rPr>
          <w:t>6</w:t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A6546" w:rsidRPr="00FB7887" w:rsidRDefault="00F54557" w:rsidP="00EA6546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882606" w:history="1">
        <w:r w:rsidR="00EA6546" w:rsidRPr="00FB7887">
          <w:rPr>
            <w:rStyle w:val="Hyperlink"/>
            <w:rFonts w:ascii="IRBadr" w:hAnsi="IRBadr" w:cs="IRBadr"/>
            <w:noProof/>
            <w:rtl/>
          </w:rPr>
          <w:t>بینه در مطلق موضوعات</w:t>
        </w:r>
        <w:r w:rsidR="00EA6546" w:rsidRPr="00FB7887">
          <w:rPr>
            <w:rFonts w:ascii="IRBadr" w:hAnsi="IRBadr" w:cs="IRBadr"/>
            <w:noProof/>
            <w:webHidden/>
          </w:rPr>
          <w:tab/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A6546" w:rsidRPr="00FB7887">
          <w:rPr>
            <w:rFonts w:ascii="IRBadr" w:hAnsi="IRBadr" w:cs="IRBadr"/>
            <w:noProof/>
            <w:webHidden/>
          </w:rPr>
          <w:instrText xml:space="preserve"> PAGEREF _Toc427882606 \h </w:instrText>
        </w:r>
        <w:r w:rsidR="00EA6546" w:rsidRPr="00FB7887">
          <w:rPr>
            <w:rStyle w:val="Hyperlink"/>
            <w:rFonts w:ascii="IRBadr" w:hAnsi="IRBadr" w:cs="IRBadr"/>
            <w:noProof/>
            <w:rtl/>
          </w:rPr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A6546" w:rsidRPr="00FB7887">
          <w:rPr>
            <w:rFonts w:ascii="IRBadr" w:hAnsi="IRBadr" w:cs="IRBadr"/>
            <w:noProof/>
            <w:webHidden/>
          </w:rPr>
          <w:t>6</w:t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A6546" w:rsidRPr="00FB7887" w:rsidRDefault="00F54557" w:rsidP="00EA6546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882607" w:history="1">
        <w:r w:rsidR="00EA6546" w:rsidRPr="00FB7887">
          <w:rPr>
            <w:rStyle w:val="Hyperlink"/>
            <w:rFonts w:ascii="IRBadr" w:hAnsi="IRBadr" w:cs="IRBadr"/>
            <w:noProof/>
            <w:rtl/>
          </w:rPr>
          <w:t>شهادت زن در این باب</w:t>
        </w:r>
        <w:r w:rsidR="00EA6546" w:rsidRPr="00FB7887">
          <w:rPr>
            <w:rFonts w:ascii="IRBadr" w:hAnsi="IRBadr" w:cs="IRBadr"/>
            <w:noProof/>
            <w:webHidden/>
          </w:rPr>
          <w:tab/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A6546" w:rsidRPr="00FB7887">
          <w:rPr>
            <w:rFonts w:ascii="IRBadr" w:hAnsi="IRBadr" w:cs="IRBadr"/>
            <w:noProof/>
            <w:webHidden/>
          </w:rPr>
          <w:instrText xml:space="preserve"> PAGEREF _Toc427882607 \h </w:instrText>
        </w:r>
        <w:r w:rsidR="00EA6546" w:rsidRPr="00FB7887">
          <w:rPr>
            <w:rStyle w:val="Hyperlink"/>
            <w:rFonts w:ascii="IRBadr" w:hAnsi="IRBadr" w:cs="IRBadr"/>
            <w:noProof/>
            <w:rtl/>
          </w:rPr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A6546" w:rsidRPr="00FB7887">
          <w:rPr>
            <w:rFonts w:ascii="IRBadr" w:hAnsi="IRBadr" w:cs="IRBadr"/>
            <w:noProof/>
            <w:webHidden/>
          </w:rPr>
          <w:t>6</w:t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A6546" w:rsidRPr="00FB7887" w:rsidRDefault="00F54557" w:rsidP="00EA6546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882608" w:history="1">
        <w:r w:rsidR="00EA6546" w:rsidRPr="00FB7887">
          <w:rPr>
            <w:rStyle w:val="Hyperlink"/>
            <w:rFonts w:ascii="IRBadr" w:hAnsi="IRBadr" w:cs="IRBadr"/>
            <w:noProof/>
            <w:rtl/>
          </w:rPr>
          <w:t>آراء در این زمینه</w:t>
        </w:r>
        <w:r w:rsidR="00EA6546" w:rsidRPr="00FB7887">
          <w:rPr>
            <w:rFonts w:ascii="IRBadr" w:hAnsi="IRBadr" w:cs="IRBadr"/>
            <w:noProof/>
            <w:webHidden/>
          </w:rPr>
          <w:tab/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A6546" w:rsidRPr="00FB7887">
          <w:rPr>
            <w:rFonts w:ascii="IRBadr" w:hAnsi="IRBadr" w:cs="IRBadr"/>
            <w:noProof/>
            <w:webHidden/>
          </w:rPr>
          <w:instrText xml:space="preserve"> PAGEREF _Toc427882608 \h </w:instrText>
        </w:r>
        <w:r w:rsidR="00EA6546" w:rsidRPr="00FB7887">
          <w:rPr>
            <w:rStyle w:val="Hyperlink"/>
            <w:rFonts w:ascii="IRBadr" w:hAnsi="IRBadr" w:cs="IRBadr"/>
            <w:noProof/>
            <w:rtl/>
          </w:rPr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A6546" w:rsidRPr="00FB7887">
          <w:rPr>
            <w:rFonts w:ascii="IRBadr" w:hAnsi="IRBadr" w:cs="IRBadr"/>
            <w:noProof/>
            <w:webHidden/>
          </w:rPr>
          <w:t>7</w:t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A6546" w:rsidRPr="00FB7887" w:rsidRDefault="00F54557" w:rsidP="00EA6546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882609" w:history="1">
        <w:r w:rsidR="00EA6546" w:rsidRPr="00FB7887">
          <w:rPr>
            <w:rStyle w:val="Hyperlink"/>
            <w:rFonts w:ascii="IRBadr" w:hAnsi="IRBadr" w:cs="IRBadr"/>
            <w:noProof/>
            <w:rtl/>
          </w:rPr>
          <w:t>اختلاف شهادات</w:t>
        </w:r>
        <w:r w:rsidR="00EA6546" w:rsidRPr="00FB7887">
          <w:rPr>
            <w:rFonts w:ascii="IRBadr" w:hAnsi="IRBadr" w:cs="IRBadr"/>
            <w:noProof/>
            <w:webHidden/>
          </w:rPr>
          <w:tab/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A6546" w:rsidRPr="00FB7887">
          <w:rPr>
            <w:rFonts w:ascii="IRBadr" w:hAnsi="IRBadr" w:cs="IRBadr"/>
            <w:noProof/>
            <w:webHidden/>
          </w:rPr>
          <w:instrText xml:space="preserve"> PAGEREF _Toc427882609 \h </w:instrText>
        </w:r>
        <w:r w:rsidR="00EA6546" w:rsidRPr="00FB7887">
          <w:rPr>
            <w:rStyle w:val="Hyperlink"/>
            <w:rFonts w:ascii="IRBadr" w:hAnsi="IRBadr" w:cs="IRBadr"/>
            <w:noProof/>
            <w:rtl/>
          </w:rPr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A6546" w:rsidRPr="00FB7887">
          <w:rPr>
            <w:rFonts w:ascii="IRBadr" w:hAnsi="IRBadr" w:cs="IRBadr"/>
            <w:noProof/>
            <w:webHidden/>
          </w:rPr>
          <w:t>7</w:t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A6546" w:rsidRPr="00FB7887" w:rsidRDefault="00F54557" w:rsidP="00EA6546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882610" w:history="1">
        <w:r w:rsidR="00EA6546" w:rsidRPr="00FB7887">
          <w:rPr>
            <w:rStyle w:val="Hyperlink"/>
            <w:rFonts w:ascii="IRBadr" w:hAnsi="IRBadr" w:cs="IRBadr"/>
            <w:noProof/>
            <w:rtl/>
          </w:rPr>
          <w:t>حد خمر</w:t>
        </w:r>
        <w:r w:rsidR="00EA6546" w:rsidRPr="00FB7887">
          <w:rPr>
            <w:rFonts w:ascii="IRBadr" w:hAnsi="IRBadr" w:cs="IRBadr"/>
            <w:noProof/>
            <w:webHidden/>
          </w:rPr>
          <w:tab/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A6546" w:rsidRPr="00FB7887">
          <w:rPr>
            <w:rFonts w:ascii="IRBadr" w:hAnsi="IRBadr" w:cs="IRBadr"/>
            <w:noProof/>
            <w:webHidden/>
          </w:rPr>
          <w:instrText xml:space="preserve"> PAGEREF _Toc427882610 \h </w:instrText>
        </w:r>
        <w:r w:rsidR="00EA6546" w:rsidRPr="00FB7887">
          <w:rPr>
            <w:rStyle w:val="Hyperlink"/>
            <w:rFonts w:ascii="IRBadr" w:hAnsi="IRBadr" w:cs="IRBadr"/>
            <w:noProof/>
            <w:rtl/>
          </w:rPr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A6546" w:rsidRPr="00FB7887">
          <w:rPr>
            <w:rFonts w:ascii="IRBadr" w:hAnsi="IRBadr" w:cs="IRBadr"/>
            <w:noProof/>
            <w:webHidden/>
          </w:rPr>
          <w:t>7</w:t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A6546" w:rsidRPr="00FB7887" w:rsidRDefault="00F54557" w:rsidP="00EA6546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882611" w:history="1">
        <w:r w:rsidR="00EA6546" w:rsidRPr="00FB7887">
          <w:rPr>
            <w:rStyle w:val="Hyperlink"/>
            <w:rFonts w:ascii="IRBadr" w:hAnsi="IRBadr" w:cs="IRBadr"/>
            <w:noProof/>
            <w:rtl/>
          </w:rPr>
          <w:t>مستندات بحث</w:t>
        </w:r>
        <w:r w:rsidR="00EA6546" w:rsidRPr="00FB7887">
          <w:rPr>
            <w:rFonts w:ascii="IRBadr" w:hAnsi="IRBadr" w:cs="IRBadr"/>
            <w:noProof/>
            <w:webHidden/>
          </w:rPr>
          <w:tab/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A6546" w:rsidRPr="00FB7887">
          <w:rPr>
            <w:rFonts w:ascii="IRBadr" w:hAnsi="IRBadr" w:cs="IRBadr"/>
            <w:noProof/>
            <w:webHidden/>
          </w:rPr>
          <w:instrText xml:space="preserve"> PAGEREF _Toc427882611 \h </w:instrText>
        </w:r>
        <w:r w:rsidR="00EA6546" w:rsidRPr="00FB7887">
          <w:rPr>
            <w:rStyle w:val="Hyperlink"/>
            <w:rFonts w:ascii="IRBadr" w:hAnsi="IRBadr" w:cs="IRBadr"/>
            <w:noProof/>
            <w:rtl/>
          </w:rPr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A6546" w:rsidRPr="00FB7887">
          <w:rPr>
            <w:rFonts w:ascii="IRBadr" w:hAnsi="IRBadr" w:cs="IRBadr"/>
            <w:noProof/>
            <w:webHidden/>
          </w:rPr>
          <w:t>8</w:t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A6546" w:rsidRPr="00FB7887" w:rsidRDefault="00F54557" w:rsidP="00EA6546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882612" w:history="1">
        <w:r w:rsidR="00EA6546" w:rsidRPr="00FB7887">
          <w:rPr>
            <w:rStyle w:val="Hyperlink"/>
            <w:rFonts w:ascii="IRBadr" w:hAnsi="IRBadr" w:cs="IRBadr"/>
            <w:noProof/>
            <w:rtl/>
          </w:rPr>
          <w:t>روایت اول</w:t>
        </w:r>
        <w:r w:rsidR="00EA6546" w:rsidRPr="00FB7887">
          <w:rPr>
            <w:rFonts w:ascii="IRBadr" w:hAnsi="IRBadr" w:cs="IRBadr"/>
            <w:noProof/>
            <w:webHidden/>
          </w:rPr>
          <w:tab/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A6546" w:rsidRPr="00FB7887">
          <w:rPr>
            <w:rFonts w:ascii="IRBadr" w:hAnsi="IRBadr" w:cs="IRBadr"/>
            <w:noProof/>
            <w:webHidden/>
          </w:rPr>
          <w:instrText xml:space="preserve"> PAGEREF _Toc427882612 \h </w:instrText>
        </w:r>
        <w:r w:rsidR="00EA6546" w:rsidRPr="00FB7887">
          <w:rPr>
            <w:rStyle w:val="Hyperlink"/>
            <w:rFonts w:ascii="IRBadr" w:hAnsi="IRBadr" w:cs="IRBadr"/>
            <w:noProof/>
            <w:rtl/>
          </w:rPr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A6546" w:rsidRPr="00FB7887">
          <w:rPr>
            <w:rFonts w:ascii="IRBadr" w:hAnsi="IRBadr" w:cs="IRBadr"/>
            <w:noProof/>
            <w:webHidden/>
          </w:rPr>
          <w:t>8</w:t>
        </w:r>
        <w:r w:rsidR="00EA6546" w:rsidRPr="00FB788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A6546" w:rsidRPr="00FB7887" w:rsidRDefault="00EA6546" w:rsidP="00EA6546">
      <w:pPr>
        <w:bidi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 w:rsidRPr="00FB7887">
        <w:rPr>
          <w:rFonts w:ascii="IRBadr" w:hAnsi="IRBadr" w:cs="IRBadr"/>
          <w:b/>
          <w:bCs/>
          <w:sz w:val="28"/>
          <w:szCs w:val="28"/>
          <w:lang w:bidi="fa-IR"/>
        </w:rPr>
        <w:fldChar w:fldCharType="end"/>
      </w:r>
    </w:p>
    <w:p w:rsidR="00FB7887" w:rsidRDefault="00FB7887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1" w:name="_Toc427882594"/>
      <w:r>
        <w:rPr>
          <w:rFonts w:ascii="IRBadr" w:hAnsi="IRBadr" w:cs="IRBadr"/>
          <w:rtl/>
        </w:rPr>
        <w:br w:type="page"/>
      </w:r>
    </w:p>
    <w:p w:rsidR="00ED6B15" w:rsidRPr="00FB7887" w:rsidRDefault="00ED6B15" w:rsidP="00EA6546">
      <w:pPr>
        <w:pStyle w:val="Heading1"/>
        <w:rPr>
          <w:rFonts w:ascii="IRBadr" w:hAnsi="IRBadr" w:cs="IRBadr"/>
          <w:rtl/>
        </w:rPr>
      </w:pPr>
      <w:r w:rsidRPr="00FB7887">
        <w:rPr>
          <w:rFonts w:ascii="IRBadr" w:hAnsi="IRBadr" w:cs="IRBadr"/>
          <w:rtl/>
        </w:rPr>
        <w:lastRenderedPageBreak/>
        <w:t>جایگاه احتیاط در باب حدود</w:t>
      </w:r>
      <w:bookmarkEnd w:id="1"/>
    </w:p>
    <w:p w:rsidR="00ED6B15" w:rsidRPr="00FB7887" w:rsidRDefault="00E216F2" w:rsidP="00EA654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B7887">
        <w:rPr>
          <w:rFonts w:ascii="IRBadr" w:hAnsi="IRBadr" w:cs="IRBadr"/>
          <w:sz w:val="28"/>
          <w:szCs w:val="28"/>
          <w:rtl/>
          <w:lang w:bidi="fa-IR"/>
        </w:rPr>
        <w:t>در باب حد</w:t>
      </w:r>
      <w:r w:rsidR="00ED6B15" w:rsidRPr="00FB7887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اجماع بیاید </w:t>
      </w:r>
      <w:r w:rsidR="00FB7887">
        <w:rPr>
          <w:rFonts w:ascii="IRBadr" w:hAnsi="IRBadr" w:cs="IRBadr"/>
          <w:sz w:val="28"/>
          <w:szCs w:val="28"/>
          <w:rtl/>
          <w:lang w:bidi="fa-IR"/>
        </w:rPr>
        <w:t>شبهه‌ای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ایجاد </w:t>
      </w:r>
      <w:r w:rsidR="00FB7887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و مصداقی برای قاعده تدرع الحدود به وجود </w:t>
      </w:r>
      <w:r w:rsidR="00FB7887">
        <w:rPr>
          <w:rFonts w:ascii="IRBadr" w:hAnsi="IRBadr" w:cs="IRBadr"/>
          <w:sz w:val="28"/>
          <w:szCs w:val="28"/>
          <w:rtl/>
          <w:lang w:bidi="fa-IR"/>
        </w:rPr>
        <w:t>می‌آورد</w:t>
      </w:r>
      <w:r w:rsidR="00ED6B15" w:rsidRPr="00FB7887">
        <w:rPr>
          <w:rFonts w:ascii="IRBadr" w:hAnsi="IRBadr" w:cs="IRBadr"/>
          <w:sz w:val="28"/>
          <w:szCs w:val="28"/>
          <w:rtl/>
          <w:lang w:bidi="fa-IR"/>
        </w:rPr>
        <w:t xml:space="preserve"> .</w:t>
      </w:r>
    </w:p>
    <w:p w:rsidR="00ED6B15" w:rsidRPr="00FB7887" w:rsidRDefault="00E216F2" w:rsidP="00EA654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B7887">
        <w:rPr>
          <w:rFonts w:ascii="IRBadr" w:hAnsi="IRBadr" w:cs="IRBadr"/>
          <w:sz w:val="28"/>
          <w:szCs w:val="28"/>
          <w:rtl/>
          <w:lang w:bidi="fa-IR"/>
        </w:rPr>
        <w:t>اشکالی آقای فاضل</w:t>
      </w:r>
      <w:r w:rsidR="00ED6B15" w:rsidRPr="00FB7887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اینجا به متن تحریر </w:t>
      </w:r>
      <w:r w:rsidR="00ED6B15" w:rsidRPr="00FB7887">
        <w:rPr>
          <w:rFonts w:ascii="IRBadr" w:hAnsi="IRBadr" w:cs="IRBadr"/>
          <w:sz w:val="28"/>
          <w:szCs w:val="28"/>
          <w:rtl/>
          <w:lang w:bidi="fa-IR"/>
        </w:rPr>
        <w:t xml:space="preserve">دارند این است 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که در قتل امام فرمودند تعدد تکرار مقتضای احتیاط است. اما در اینجا فتوا می‌دهند که </w:t>
      </w:r>
      <w:r w:rsidR="00ED6B15" w:rsidRPr="00FB7887">
        <w:rPr>
          <w:rFonts w:ascii="IRBadr" w:hAnsi="IRBadr" w:cs="IRBadr"/>
          <w:sz w:val="28"/>
          <w:szCs w:val="28"/>
          <w:rtl/>
          <w:lang w:bidi="fa-IR"/>
        </w:rPr>
        <w:t>؛</w:t>
      </w:r>
      <w:r w:rsidR="00310635" w:rsidRPr="00FB7887">
        <w:rPr>
          <w:rFonts w:ascii="IRBadr" w:hAnsi="IRBadr" w:cs="IRBadr"/>
          <w:sz w:val="28"/>
          <w:szCs w:val="28"/>
          <w:rtl/>
          <w:lang w:bidi="fa-IR"/>
        </w:rPr>
        <w:t xml:space="preserve">شرب خمر با دو بار اقرار ثابت </w:t>
      </w:r>
      <w:r w:rsidR="00FB7887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310635" w:rsidRPr="00FB7887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ED6B15" w:rsidRPr="00FB7887" w:rsidRDefault="00ED6B15" w:rsidP="00EA6546">
      <w:pPr>
        <w:pStyle w:val="Heading1"/>
        <w:rPr>
          <w:rFonts w:ascii="IRBadr" w:hAnsi="IRBadr" w:cs="IRBadr"/>
          <w:rtl/>
        </w:rPr>
      </w:pPr>
      <w:bookmarkStart w:id="2" w:name="_Toc427882595"/>
      <w:r w:rsidRPr="00FB7887">
        <w:rPr>
          <w:rFonts w:ascii="IRBadr" w:hAnsi="IRBadr" w:cs="IRBadr"/>
          <w:rtl/>
        </w:rPr>
        <w:t>اشکال به تحریر</w:t>
      </w:r>
      <w:bookmarkEnd w:id="2"/>
    </w:p>
    <w:p w:rsidR="00ED6B15" w:rsidRPr="00FB7887" w:rsidRDefault="00E216F2" w:rsidP="00EA654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B7887">
        <w:rPr>
          <w:rFonts w:ascii="IRBadr" w:hAnsi="IRBadr" w:cs="IRBadr"/>
          <w:sz w:val="28"/>
          <w:szCs w:val="28"/>
          <w:rtl/>
          <w:lang w:bidi="fa-IR"/>
        </w:rPr>
        <w:t>درحالی‌که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هر دو جا مثل هم است. دلیل خاص ندارد ولی اجماعی وجود دارد. ایشان سؤال می‌کند که چرا آنجا گفتی</w:t>
      </w:r>
      <w:r w:rsidR="00ED6B15" w:rsidRPr="00FB7887">
        <w:rPr>
          <w:rFonts w:ascii="IRBadr" w:hAnsi="IRBadr" w:cs="IRBadr"/>
          <w:sz w:val="28"/>
          <w:szCs w:val="28"/>
          <w:rtl/>
          <w:lang w:bidi="fa-IR"/>
        </w:rPr>
        <w:t>د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مقتضی الاحتیاط ولی</w:t>
      </w:r>
      <w:r w:rsidR="00ED6B15" w:rsidRPr="00FB7887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اینجا فتوایی می‌دهید. این اشکالی است که ایشان به متن وارد می‌کنند،</w:t>
      </w:r>
      <w:r w:rsidR="00ED6B15" w:rsidRPr="00FB788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>ملاحظه</w:t>
      </w:r>
      <w:r w:rsidR="00ED6B15" w:rsidRPr="00FB7887">
        <w:rPr>
          <w:rFonts w:ascii="IRBadr" w:hAnsi="IRBadr" w:cs="IRBadr"/>
          <w:sz w:val="28"/>
          <w:szCs w:val="28"/>
          <w:rtl/>
          <w:lang w:bidi="fa-IR"/>
        </w:rPr>
        <w:t xml:space="preserve"> نکردم، ببینم آیا فرقی بوده است؟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چه </w:t>
      </w:r>
      <w:r w:rsidR="00FB7887">
        <w:rPr>
          <w:rFonts w:ascii="IRBadr" w:hAnsi="IRBadr" w:cs="IRBadr"/>
          <w:sz w:val="28"/>
          <w:szCs w:val="28"/>
          <w:rtl/>
          <w:lang w:bidi="fa-IR"/>
        </w:rPr>
        <w:t>نکته‌ای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در ذهن امام بوده که در قتل فرمودند مقتضی الاحتیاط، ولی اینجا فتوا دادند. </w:t>
      </w:r>
      <w:r w:rsidR="00FB7887">
        <w:rPr>
          <w:rFonts w:ascii="IRBadr" w:hAnsi="IRBadr" w:cs="IRBadr"/>
          <w:sz w:val="28"/>
          <w:szCs w:val="28"/>
          <w:rtl/>
          <w:lang w:bidi="fa-IR"/>
        </w:rPr>
        <w:t>درحالی‌که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هر دو مثل هم است، یعنی وجهی متمایز و متفاوتی در </w:t>
      </w:r>
      <w:r w:rsidR="00FB7887">
        <w:rPr>
          <w:rFonts w:ascii="IRBadr" w:hAnsi="IRBadr" w:cs="IRBadr"/>
          <w:sz w:val="28"/>
          <w:szCs w:val="28"/>
          <w:rtl/>
          <w:lang w:bidi="fa-IR"/>
        </w:rPr>
        <w:t>اینجا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نیست. این </w:t>
      </w:r>
      <w:r w:rsidR="00FB7887">
        <w:rPr>
          <w:rFonts w:ascii="IRBadr" w:hAnsi="IRBadr" w:cs="IRBadr"/>
          <w:sz w:val="28"/>
          <w:szCs w:val="28"/>
          <w:rtl/>
          <w:lang w:bidi="fa-IR"/>
        </w:rPr>
        <w:t>شبهه‌ای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است که ایشان مطرح کردند، بد نیست مراجعه کنید، دقتی کنید که چرا آنجا </w:t>
      </w:r>
      <w:r w:rsidR="00FB7887">
        <w:rPr>
          <w:rFonts w:ascii="IRBadr" w:hAnsi="IRBadr" w:cs="IRBadr"/>
          <w:sz w:val="28"/>
          <w:szCs w:val="28"/>
          <w:rtl/>
          <w:lang w:bidi="fa-IR"/>
        </w:rPr>
        <w:t>این‌طوری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گفتند. </w:t>
      </w:r>
    </w:p>
    <w:p w:rsidR="00ED6B15" w:rsidRPr="00FB7887" w:rsidRDefault="00FB7887" w:rsidP="00EA6546">
      <w:pPr>
        <w:pStyle w:val="Heading1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جمع‌بندی</w:t>
      </w:r>
    </w:p>
    <w:p w:rsidR="00ED6B15" w:rsidRPr="00FB7887" w:rsidRDefault="00E216F2" w:rsidP="00EA654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B7887">
        <w:rPr>
          <w:rFonts w:ascii="IRBadr" w:hAnsi="IRBadr" w:cs="IRBadr"/>
          <w:sz w:val="28"/>
          <w:szCs w:val="28"/>
          <w:rtl/>
          <w:lang w:bidi="fa-IR"/>
        </w:rPr>
        <w:t>پس اگر کسی قاعده</w:t>
      </w:r>
      <w:r w:rsidR="00ED6B15" w:rsidRPr="00FB7887">
        <w:rPr>
          <w:rFonts w:ascii="IRBadr" w:hAnsi="IRBadr" w:cs="IRBadr"/>
          <w:sz w:val="28"/>
          <w:szCs w:val="28"/>
          <w:rtl/>
          <w:lang w:bidi="fa-IR"/>
        </w:rPr>
        <w:t xml:space="preserve"> اجماع را در حدی که ایجاد شبهه 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>کند، بپذیرد و قاعده تدرع را هم در آن ش</w:t>
      </w:r>
      <w:r w:rsidR="00ED6B15" w:rsidRPr="00FB7887">
        <w:rPr>
          <w:rFonts w:ascii="IRBadr" w:hAnsi="IRBadr" w:cs="IRBadr"/>
          <w:sz w:val="28"/>
          <w:szCs w:val="28"/>
          <w:rtl/>
          <w:lang w:bidi="fa-IR"/>
        </w:rPr>
        <w:t>کلی که ما تصویر کردیم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یا در آن حدی که مرحوم </w:t>
      </w:r>
      <w:r w:rsidR="00ED6B15" w:rsidRPr="00FB7887">
        <w:rPr>
          <w:rFonts w:ascii="IRBadr" w:hAnsi="IRBadr" w:cs="IRBadr"/>
          <w:sz w:val="28"/>
          <w:szCs w:val="28"/>
          <w:rtl/>
          <w:lang w:bidi="fa-IR"/>
        </w:rPr>
        <w:t>آقای گلپایگانی داشتند، بپذیرد، ط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بعاً اینجا به استناد آن می‌تواند بگوید، با یک بار ثابت نمی‌شود و </w:t>
      </w:r>
      <w:r w:rsidR="00ED6B15" w:rsidRPr="00FB7887">
        <w:rPr>
          <w:rFonts w:ascii="IRBadr" w:hAnsi="IRBadr" w:cs="IRBadr"/>
          <w:sz w:val="28"/>
          <w:szCs w:val="28"/>
          <w:rtl/>
          <w:lang w:bidi="fa-IR"/>
        </w:rPr>
        <w:t xml:space="preserve">اگر 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>شخصی به شرب خمر</w:t>
      </w:r>
      <w:r w:rsidR="00ED6B15" w:rsidRPr="00FB7887">
        <w:rPr>
          <w:rFonts w:ascii="IRBadr" w:hAnsi="IRBadr" w:cs="IRBadr"/>
          <w:sz w:val="28"/>
          <w:szCs w:val="28"/>
          <w:rtl/>
          <w:lang w:bidi="fa-IR"/>
        </w:rPr>
        <w:t xml:space="preserve"> دو بار اقرار کند 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FB7887">
        <w:rPr>
          <w:rFonts w:ascii="IRBadr" w:hAnsi="IRBadr" w:cs="IRBadr"/>
          <w:sz w:val="28"/>
          <w:szCs w:val="28"/>
          <w:rtl/>
          <w:lang w:bidi="fa-IR"/>
        </w:rPr>
        <w:t>آن‌وقت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حد بر او جاری می‌شود. با اقرار یک بار دفع می‌شود و ثابت نمی‌شود.</w:t>
      </w:r>
    </w:p>
    <w:p w:rsidR="00ED6B15" w:rsidRPr="00FB7887" w:rsidRDefault="00FB7887" w:rsidP="00EA6546">
      <w:pPr>
        <w:pStyle w:val="Heading2"/>
        <w:rPr>
          <w:rFonts w:ascii="IRBadr" w:hAnsi="IRBadr" w:cs="IRBadr"/>
          <w:rtl/>
        </w:rPr>
      </w:pPr>
      <w:bookmarkStart w:id="3" w:name="_Toc427882597"/>
      <w:r>
        <w:rPr>
          <w:rFonts w:ascii="IRBadr" w:hAnsi="IRBadr" w:cs="IRBadr"/>
          <w:rtl/>
        </w:rPr>
        <w:t>شرایط</w:t>
      </w:r>
      <w:r w:rsidR="00ED6B15" w:rsidRPr="00FB7887">
        <w:rPr>
          <w:rFonts w:ascii="IRBadr" w:hAnsi="IRBadr" w:cs="IRBadr"/>
          <w:rtl/>
        </w:rPr>
        <w:t xml:space="preserve"> پذیرش اقرار</w:t>
      </w:r>
      <w:bookmarkEnd w:id="3"/>
    </w:p>
    <w:p w:rsidR="00ED6B15" w:rsidRPr="00FB7887" w:rsidRDefault="00ED6B15" w:rsidP="00EA6546">
      <w:pPr>
        <w:pStyle w:val="Heading2"/>
        <w:rPr>
          <w:rFonts w:ascii="IRBadr" w:hAnsi="IRBadr" w:cs="IRBadr"/>
          <w:rtl/>
        </w:rPr>
      </w:pPr>
      <w:bookmarkStart w:id="4" w:name="_Toc427882598"/>
      <w:r w:rsidRPr="00FB7887">
        <w:rPr>
          <w:rFonts w:ascii="IRBadr" w:hAnsi="IRBadr" w:cs="IRBadr"/>
          <w:rtl/>
        </w:rPr>
        <w:t>اقرار با بیان عذر</w:t>
      </w:r>
      <w:bookmarkEnd w:id="4"/>
    </w:p>
    <w:p w:rsidR="00ED6B15" w:rsidRPr="00FB7887" w:rsidRDefault="00E216F2" w:rsidP="00EA654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پس اقراری معتبر است که همراه با </w:t>
      </w:r>
      <w:r w:rsidR="00FB7887">
        <w:rPr>
          <w:rFonts w:ascii="IRBadr" w:hAnsi="IRBadr" w:cs="IRBadr"/>
          <w:sz w:val="28"/>
          <w:szCs w:val="28"/>
          <w:rtl/>
          <w:lang w:bidi="fa-IR"/>
        </w:rPr>
        <w:t>قرینه‌ای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FB7887">
        <w:rPr>
          <w:rFonts w:ascii="IRBadr" w:hAnsi="IRBadr" w:cs="IRBadr"/>
          <w:sz w:val="28"/>
          <w:szCs w:val="28"/>
          <w:rtl/>
          <w:lang w:bidi="fa-IR"/>
        </w:rPr>
        <w:t>جمله‌ای</w:t>
      </w:r>
      <w:r w:rsidR="00ED6B15" w:rsidRPr="00FB7887">
        <w:rPr>
          <w:rFonts w:ascii="IRBadr" w:hAnsi="IRBadr" w:cs="IRBadr"/>
          <w:sz w:val="28"/>
          <w:szCs w:val="28"/>
          <w:rtl/>
          <w:lang w:bidi="fa-IR"/>
        </w:rPr>
        <w:t xml:space="preserve"> نباشد که معذوریت او را افاده 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کند، والا </w:t>
      </w:r>
      <w:r w:rsidR="00ED6B15" w:rsidRPr="00FB7887">
        <w:rPr>
          <w:rFonts w:ascii="IRBadr" w:hAnsi="IRBadr" w:cs="IRBadr"/>
          <w:sz w:val="28"/>
          <w:szCs w:val="28"/>
          <w:rtl/>
          <w:lang w:bidi="fa-IR"/>
        </w:rPr>
        <w:t>اگر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اقرار می‌کند، می‌گوید بله شرب خمر کردم، اما دکتر</w:t>
      </w:r>
      <w:r w:rsidR="00ED6B15" w:rsidRPr="00FB7887">
        <w:rPr>
          <w:rFonts w:ascii="IRBadr" w:hAnsi="IRBadr" w:cs="IRBadr"/>
          <w:sz w:val="28"/>
          <w:szCs w:val="28"/>
          <w:rtl/>
          <w:lang w:bidi="fa-IR"/>
        </w:rPr>
        <w:t xml:space="preserve"> گفته بود اگر نخوری چنان می‌شود یا من را مجبور کردند، این اقرار ط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>بعاً نمی‌تواند اثبات جرم بکند چون همراه با بیان عذر است. این در صورتی است که اقرار همراه با یک عذر انشاء بشود.</w:t>
      </w:r>
    </w:p>
    <w:p w:rsidR="00E00DC7" w:rsidRPr="00FB7887" w:rsidRDefault="00E00DC7" w:rsidP="00EA6546">
      <w:pPr>
        <w:pStyle w:val="Heading2"/>
        <w:rPr>
          <w:rFonts w:ascii="IRBadr" w:hAnsi="IRBadr" w:cs="IRBadr"/>
          <w:rtl/>
        </w:rPr>
      </w:pPr>
      <w:bookmarkStart w:id="5" w:name="_Toc427882599"/>
      <w:r w:rsidRPr="00FB7887">
        <w:rPr>
          <w:rFonts w:ascii="IRBadr" w:hAnsi="IRBadr" w:cs="IRBadr"/>
          <w:rtl/>
        </w:rPr>
        <w:lastRenderedPageBreak/>
        <w:t>اقرار همراه با انفصال</w:t>
      </w:r>
      <w:bookmarkEnd w:id="5"/>
    </w:p>
    <w:p w:rsidR="00E00DC7" w:rsidRPr="00FB7887" w:rsidRDefault="00E216F2" w:rsidP="00EA654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B7887">
        <w:rPr>
          <w:rFonts w:ascii="IRBadr" w:hAnsi="IRBadr" w:cs="IRBadr"/>
          <w:sz w:val="28"/>
          <w:szCs w:val="28"/>
          <w:rtl/>
          <w:lang w:bidi="fa-IR"/>
        </w:rPr>
        <w:t>صور</w:t>
      </w:r>
      <w:r w:rsidR="00E00DC7" w:rsidRPr="00FB7887">
        <w:rPr>
          <w:rFonts w:ascii="IRBadr" w:hAnsi="IRBadr" w:cs="IRBadr"/>
          <w:sz w:val="28"/>
          <w:szCs w:val="28"/>
          <w:rtl/>
          <w:lang w:bidi="fa-IR"/>
        </w:rPr>
        <w:t>ت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دوم این است که به شرب خمر</w:t>
      </w:r>
      <w:r w:rsidR="00E00DC7" w:rsidRPr="00FB7887">
        <w:rPr>
          <w:rFonts w:ascii="IRBadr" w:hAnsi="IRBadr" w:cs="IRBadr"/>
          <w:sz w:val="28"/>
          <w:szCs w:val="28"/>
          <w:rtl/>
          <w:lang w:bidi="fa-IR"/>
        </w:rPr>
        <w:t xml:space="preserve"> اقرار می‌کند 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، با یک </w:t>
      </w:r>
      <w:r w:rsidR="00FB7887">
        <w:rPr>
          <w:rFonts w:ascii="IRBadr" w:hAnsi="IRBadr" w:cs="IRBadr"/>
          <w:sz w:val="28"/>
          <w:szCs w:val="28"/>
          <w:rtl/>
          <w:lang w:bidi="fa-IR"/>
        </w:rPr>
        <w:t>فاصله‌ای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FB7887">
        <w:rPr>
          <w:rFonts w:ascii="IRBadr" w:hAnsi="IRBadr" w:cs="IRBadr"/>
          <w:sz w:val="28"/>
          <w:szCs w:val="28"/>
          <w:rtl/>
          <w:lang w:bidi="fa-IR"/>
        </w:rPr>
        <w:t>به‌صورت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منفصل، بعد می‌گوید، آن اقرار کردن به شرب مسکر به خاطر تدابیر </w:t>
      </w:r>
      <w:r w:rsidR="00E00DC7" w:rsidRPr="00FB7887">
        <w:rPr>
          <w:rFonts w:ascii="IRBadr" w:hAnsi="IRBadr" w:cs="IRBadr"/>
          <w:sz w:val="28"/>
          <w:szCs w:val="28"/>
          <w:rtl/>
          <w:lang w:bidi="fa-IR"/>
        </w:rPr>
        <w:t>یا معالجه بود و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یا اکراهی در کار بود.</w:t>
      </w:r>
    </w:p>
    <w:p w:rsidR="00E00DC7" w:rsidRPr="00FB7887" w:rsidRDefault="00E216F2" w:rsidP="00EA654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این اقرار هم باز مثبت حد است. برای اینکه با این قرینه منفصله اقرار را محدد  و مقید می‌کند. و </w:t>
      </w:r>
      <w:r w:rsidR="00FB7887">
        <w:rPr>
          <w:rFonts w:ascii="IRBadr" w:hAnsi="IRBadr" w:cs="IRBadr"/>
          <w:sz w:val="28"/>
          <w:szCs w:val="28"/>
          <w:rtl/>
          <w:lang w:bidi="fa-IR"/>
        </w:rPr>
        <w:t>به‌خصوص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ایجاد شبهه می‌کند و با قاعده تدرع این اقراری که به دنبالش آمده بود که اجبار بود، اکرا</w:t>
      </w:r>
      <w:r w:rsidR="00E00DC7" w:rsidRPr="00FB7887">
        <w:rPr>
          <w:rFonts w:ascii="IRBadr" w:hAnsi="IRBadr" w:cs="IRBadr"/>
          <w:sz w:val="28"/>
          <w:szCs w:val="28"/>
          <w:rtl/>
          <w:lang w:bidi="fa-IR"/>
        </w:rPr>
        <w:t>ه بود، من مریض بودم آن را از حیز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انتفاع ساقط می‌کند. بنابراین اقرار به شرب وقتی که همراه با عذری در کلام خودش </w:t>
      </w:r>
      <w:r w:rsidR="00E00DC7" w:rsidRPr="00FB7887">
        <w:rPr>
          <w:rFonts w:ascii="IRBadr" w:hAnsi="IRBadr" w:cs="IRBadr"/>
          <w:sz w:val="28"/>
          <w:szCs w:val="28"/>
          <w:rtl/>
          <w:lang w:bidi="fa-IR"/>
        </w:rPr>
        <w:t xml:space="preserve">بشود 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>چه متصلاً چه منفصلاً این اقرار را از مثب</w:t>
      </w:r>
      <w:r w:rsidR="00E00DC7" w:rsidRPr="00FB7887">
        <w:rPr>
          <w:rFonts w:ascii="IRBadr" w:hAnsi="IRBadr" w:cs="IRBadr"/>
          <w:sz w:val="28"/>
          <w:szCs w:val="28"/>
          <w:rtl/>
          <w:lang w:bidi="fa-IR"/>
        </w:rPr>
        <w:t>ت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>یت حد ساقط می‌کند.</w:t>
      </w:r>
    </w:p>
    <w:p w:rsidR="00E00DC7" w:rsidRPr="00FB7887" w:rsidRDefault="00E00DC7" w:rsidP="00EA6546">
      <w:pPr>
        <w:pStyle w:val="Heading2"/>
        <w:rPr>
          <w:rFonts w:ascii="IRBadr" w:hAnsi="IRBadr" w:cs="IRBadr"/>
          <w:rtl/>
        </w:rPr>
      </w:pPr>
      <w:bookmarkStart w:id="6" w:name="_Toc427882600"/>
      <w:r w:rsidRPr="00FB7887">
        <w:rPr>
          <w:rFonts w:ascii="IRBadr" w:hAnsi="IRBadr" w:cs="IRBadr"/>
          <w:rtl/>
        </w:rPr>
        <w:t>اقرارات مطلق</w:t>
      </w:r>
      <w:bookmarkEnd w:id="6"/>
    </w:p>
    <w:p w:rsidR="00E00DC7" w:rsidRPr="00FB7887" w:rsidRDefault="00E216F2" w:rsidP="00EA654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B7887">
        <w:rPr>
          <w:rFonts w:ascii="IRBadr" w:hAnsi="IRBadr" w:cs="IRBadr"/>
          <w:sz w:val="28"/>
          <w:szCs w:val="28"/>
          <w:rtl/>
          <w:lang w:bidi="fa-IR"/>
        </w:rPr>
        <w:t>صورت سوم در اقرار این</w:t>
      </w:r>
      <w:r w:rsidR="00E00DC7" w:rsidRPr="00FB7887">
        <w:rPr>
          <w:rFonts w:ascii="IRBadr" w:hAnsi="IRBadr" w:cs="IRBadr"/>
          <w:sz w:val="28"/>
          <w:szCs w:val="28"/>
          <w:rtl/>
          <w:lang w:bidi="fa-IR"/>
        </w:rPr>
        <w:t xml:space="preserve"> است که اقرار او مطلق است.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اصل در این نوع اقرارات که قیدی دنبال آن نیست، این است که حالت خاصی ندارد که برای تدابیر باشد، </w:t>
      </w:r>
      <w:r w:rsidR="00E00DC7" w:rsidRPr="00FB7887">
        <w:rPr>
          <w:rFonts w:ascii="IRBadr" w:hAnsi="IRBadr" w:cs="IRBadr"/>
          <w:sz w:val="28"/>
          <w:szCs w:val="28"/>
          <w:rtl/>
          <w:lang w:bidi="fa-IR"/>
        </w:rPr>
        <w:t>حمل بر این ظاهر می‌شود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که برداشت عقلا این است. الا اینکه </w:t>
      </w:r>
      <w:r w:rsidR="00FB7887">
        <w:rPr>
          <w:rFonts w:ascii="IRBadr" w:hAnsi="IRBadr" w:cs="IRBadr"/>
          <w:sz w:val="28"/>
          <w:szCs w:val="28"/>
          <w:rtl/>
          <w:lang w:bidi="fa-IR"/>
        </w:rPr>
        <w:t>قرینه‌ای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قائل بشود. </w:t>
      </w:r>
      <w:r w:rsidR="00FB7887">
        <w:rPr>
          <w:rFonts w:ascii="IRBadr" w:hAnsi="IRBadr" w:cs="IRBadr"/>
          <w:sz w:val="28"/>
          <w:szCs w:val="28"/>
          <w:rtl/>
          <w:lang w:bidi="fa-IR"/>
        </w:rPr>
        <w:t>قرینه‌ای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که موجب اعتماد باشد بر اینکه این </w:t>
      </w:r>
      <w:r w:rsidR="00E00DC7" w:rsidRPr="00FB7887">
        <w:rPr>
          <w:rFonts w:ascii="IRBadr" w:hAnsi="IRBadr" w:cs="IRBadr"/>
          <w:sz w:val="28"/>
          <w:szCs w:val="28"/>
          <w:rtl/>
          <w:lang w:bidi="fa-IR"/>
        </w:rPr>
        <w:t>فرد سابقه مریضی دارد و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قرائن و شواهدی وجود دارد که معلوم است شرب او به خاطر معالجه است</w:t>
      </w:r>
      <w:r w:rsidR="00E00DC7" w:rsidRPr="00FB7887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E00DC7" w:rsidRPr="00FB7887" w:rsidRDefault="00E00DC7" w:rsidP="00EA6546">
      <w:pPr>
        <w:pStyle w:val="Heading2"/>
        <w:rPr>
          <w:rFonts w:ascii="IRBadr" w:hAnsi="IRBadr" w:cs="IRBadr"/>
          <w:rtl/>
        </w:rPr>
      </w:pPr>
      <w:bookmarkStart w:id="7" w:name="_Toc427882601"/>
      <w:r w:rsidRPr="00FB7887">
        <w:rPr>
          <w:rFonts w:ascii="IRBadr" w:hAnsi="IRBadr" w:cs="IRBadr"/>
          <w:rtl/>
        </w:rPr>
        <w:t>شرط اطمینان در این صورت</w:t>
      </w:r>
      <w:bookmarkEnd w:id="7"/>
    </w:p>
    <w:p w:rsidR="00E00DC7" w:rsidRPr="00FB7887" w:rsidRDefault="00E216F2" w:rsidP="00EA654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B7887">
        <w:rPr>
          <w:rFonts w:ascii="IRBadr" w:hAnsi="IRBadr" w:cs="IRBadr"/>
          <w:sz w:val="28"/>
          <w:szCs w:val="28"/>
          <w:rtl/>
          <w:lang w:bidi="fa-IR"/>
        </w:rPr>
        <w:t>در این فرض سوم آی</w:t>
      </w:r>
      <w:r w:rsidR="00E00DC7" w:rsidRPr="00FB7887">
        <w:rPr>
          <w:rFonts w:ascii="IRBadr" w:hAnsi="IRBadr" w:cs="IRBadr"/>
          <w:sz w:val="28"/>
          <w:szCs w:val="28"/>
          <w:rtl/>
          <w:lang w:bidi="fa-IR"/>
        </w:rPr>
        <w:t>ا این قرینه باید اطمینان بیاورد؟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قرینه حالیه نه آن قرائن </w:t>
      </w:r>
      <w:r w:rsidR="00FB7887">
        <w:rPr>
          <w:rFonts w:ascii="IRBadr" w:hAnsi="IRBadr" w:cs="IRBadr"/>
          <w:sz w:val="28"/>
          <w:szCs w:val="28"/>
          <w:rtl/>
          <w:lang w:bidi="fa-IR"/>
        </w:rPr>
        <w:t>لفظیه‌ای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که فرض اول و دوم بود. صورت اول قرینه لفظیه متصل بود، صورت دوم قرینه لفظیه منفصل بود، صورت سوم این است که</w:t>
      </w:r>
      <w:r w:rsidR="00E00DC7" w:rsidRPr="00FB7887">
        <w:rPr>
          <w:rFonts w:ascii="IRBadr" w:hAnsi="IRBadr" w:cs="IRBadr"/>
          <w:sz w:val="28"/>
          <w:szCs w:val="28"/>
          <w:rtl/>
          <w:lang w:bidi="fa-IR"/>
        </w:rPr>
        <w:t xml:space="preserve"> باید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قرائن حالی باشد، نه قرائن لفظی. </w:t>
      </w:r>
      <w:r w:rsidR="00FB7887">
        <w:rPr>
          <w:rFonts w:ascii="IRBadr" w:hAnsi="IRBadr" w:cs="IRBadr"/>
          <w:sz w:val="28"/>
          <w:szCs w:val="28"/>
          <w:rtl/>
          <w:lang w:bidi="fa-IR"/>
        </w:rPr>
        <w:t>سؤالی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که وجود دارد، این است که آیا این </w:t>
      </w:r>
      <w:r w:rsidR="00FB7887">
        <w:rPr>
          <w:rFonts w:ascii="IRBadr" w:hAnsi="IRBadr" w:cs="IRBadr"/>
          <w:sz w:val="28"/>
          <w:szCs w:val="28"/>
          <w:rtl/>
          <w:lang w:bidi="fa-IR"/>
        </w:rPr>
        <w:t>قرینه‌ای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که می‌خواهد اقرار </w:t>
      </w:r>
      <w:r w:rsidR="00E00DC7" w:rsidRPr="00FB7887">
        <w:rPr>
          <w:rFonts w:ascii="IRBadr" w:hAnsi="IRBadr" w:cs="IRBadr"/>
          <w:sz w:val="28"/>
          <w:szCs w:val="28"/>
          <w:rtl/>
          <w:lang w:bidi="fa-IR"/>
        </w:rPr>
        <w:t xml:space="preserve">را از حیز انتفاع ساقط 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کند، یعنی </w:t>
      </w:r>
      <w:r w:rsidR="00FB7887">
        <w:rPr>
          <w:rFonts w:ascii="IRBadr" w:hAnsi="IRBadr" w:cs="IRBadr"/>
          <w:sz w:val="28"/>
          <w:szCs w:val="28"/>
          <w:rtl/>
          <w:lang w:bidi="fa-IR"/>
        </w:rPr>
        <w:t>قرینه‌ای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که می‌گوید این اکراه بوده است، یا برای معالجه بوده است، آیا باید اطمینان بیاورد یا نه؟</w:t>
      </w:r>
    </w:p>
    <w:p w:rsidR="00E00DC7" w:rsidRPr="00FB7887" w:rsidRDefault="00E00DC7" w:rsidP="00EA6546">
      <w:pPr>
        <w:pStyle w:val="Heading2"/>
        <w:rPr>
          <w:rFonts w:ascii="IRBadr" w:hAnsi="IRBadr" w:cs="IRBadr"/>
          <w:rtl/>
        </w:rPr>
      </w:pPr>
      <w:bookmarkStart w:id="8" w:name="_Toc427882602"/>
      <w:r w:rsidRPr="00FB7887">
        <w:rPr>
          <w:rFonts w:ascii="IRBadr" w:hAnsi="IRBadr" w:cs="IRBadr"/>
          <w:rtl/>
        </w:rPr>
        <w:t>اتخاذ مبنا</w:t>
      </w:r>
      <w:bookmarkEnd w:id="8"/>
    </w:p>
    <w:p w:rsidR="00E00DC7" w:rsidRPr="00FB7887" w:rsidRDefault="00E216F2" w:rsidP="00EA654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ظاهر عبارت این است که </w:t>
      </w:r>
      <w:r w:rsidR="00E00DC7" w:rsidRPr="00FB7887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E00DC7" w:rsidRPr="00FB7887" w:rsidRDefault="00310635" w:rsidP="00EA6546">
      <w:pPr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FB788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«و يشترط في المقر البلوغ و العقل و الحرية و الاختيار و القصد، و يعتبر في الإقرار أن لا يقرن بشي‌ء يحتمل معه جواز شربه كقوله</w:t>
      </w:r>
      <w:r w:rsidRPr="00FB788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: </w:t>
      </w:r>
      <w:r w:rsidRPr="00FB788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شربت للتداوي أو مكرها،</w:t>
      </w:r>
      <w:r w:rsidRPr="00FB788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Pr="00FB788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و لو أقر بنحو الإطلاق</w:t>
      </w:r>
      <w:r w:rsidRPr="00FB788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Pr="00FB788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و قامت قرينة على أنه شربه معذورا لم يثبت الحد،</w:t>
      </w:r>
      <w:r w:rsidRPr="00FB788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Pr="00FB788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و لو </w:t>
      </w:r>
      <w:r w:rsidRPr="00FB788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lastRenderedPageBreak/>
        <w:t>أقر بنحو الإطلاق</w:t>
      </w:r>
      <w:r w:rsidRPr="00FB788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Pr="00FB788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ثم ادعى عذرا قبل منه، و يدرأ عنه الحد لو احتمل في حقه ذلك، و لا يكفي في ثبوته الرائحة و النكهة مع احتمال العذر</w:t>
      </w:r>
      <w:r w:rsidRPr="00FB788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>.</w:t>
      </w:r>
      <w:r w:rsidRPr="00FB788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»</w:t>
      </w:r>
      <w:r w:rsidRPr="00FB7887">
        <w:rPr>
          <w:rStyle w:val="FootnoteReference"/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footnoteReference w:id="1"/>
      </w:r>
      <w:r w:rsidRPr="00FB788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:rsidR="00E00DC7" w:rsidRPr="00FB7887" w:rsidRDefault="00E216F2" w:rsidP="00EA654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این قرینه </w:t>
      </w:r>
      <w:r w:rsidR="00E00DC7" w:rsidRPr="00FB7887">
        <w:rPr>
          <w:rFonts w:ascii="IRBadr" w:hAnsi="IRBadr" w:cs="IRBadr"/>
          <w:sz w:val="28"/>
          <w:szCs w:val="28"/>
          <w:rtl/>
          <w:lang w:bidi="fa-IR"/>
        </w:rPr>
        <w:t xml:space="preserve">باید 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علم آور و اطمینان آور </w:t>
      </w:r>
      <w:r w:rsidR="00E00DC7" w:rsidRPr="00FB7887">
        <w:rPr>
          <w:rFonts w:ascii="IRBadr" w:hAnsi="IRBadr" w:cs="IRBadr"/>
          <w:sz w:val="28"/>
          <w:szCs w:val="28"/>
          <w:rtl/>
          <w:lang w:bidi="fa-IR"/>
        </w:rPr>
        <w:t>باشد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یا اینکه</w:t>
      </w:r>
      <w:r w:rsidR="00E00DC7" w:rsidRPr="00FB7887">
        <w:rPr>
          <w:rFonts w:ascii="IRBadr" w:hAnsi="IRBadr" w:cs="IRBadr"/>
          <w:sz w:val="28"/>
          <w:szCs w:val="28"/>
          <w:rtl/>
          <w:lang w:bidi="fa-IR"/>
        </w:rPr>
        <w:t xml:space="preserve"> لازم نیست؟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ممکن است بگوییم </w:t>
      </w:r>
      <w:r w:rsidR="00E00DC7" w:rsidRPr="00FB7887">
        <w:rPr>
          <w:rFonts w:ascii="IRBadr" w:hAnsi="IRBadr" w:cs="IRBadr"/>
          <w:sz w:val="28"/>
          <w:szCs w:val="28"/>
          <w:rtl/>
          <w:lang w:bidi="fa-IR"/>
        </w:rPr>
        <w:t xml:space="preserve">عبارت 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اطلاق دارد، اعم است. به نظر می‌آید همین </w:t>
      </w:r>
      <w:r w:rsidR="00E00DC7" w:rsidRPr="00FB7887">
        <w:rPr>
          <w:rFonts w:ascii="IRBadr" w:hAnsi="IRBadr" w:cs="IRBadr"/>
          <w:sz w:val="28"/>
          <w:szCs w:val="28"/>
          <w:rtl/>
          <w:lang w:bidi="fa-IR"/>
        </w:rPr>
        <w:t xml:space="preserve">درست 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است که قرینه گاهی اطمینان می‌آورد، گاهی اطمینان نمی‌آورد، ولی شبهه جدی ایجاد می‌کند. یعنی احتمال قوی را مطرح می‌کند که این </w:t>
      </w:r>
      <w:r w:rsidR="00E00DC7" w:rsidRPr="00FB7887">
        <w:rPr>
          <w:rFonts w:ascii="IRBadr" w:hAnsi="IRBadr" w:cs="IRBadr"/>
          <w:sz w:val="28"/>
          <w:szCs w:val="28"/>
          <w:rtl/>
          <w:lang w:bidi="fa-IR"/>
        </w:rPr>
        <w:t xml:space="preserve">فرد 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معذور بوده است. همین هم کافی است </w:t>
      </w:r>
      <w:r w:rsidR="00FB7887">
        <w:rPr>
          <w:rFonts w:ascii="IRBadr" w:hAnsi="IRBadr" w:cs="IRBadr"/>
          <w:sz w:val="28"/>
          <w:szCs w:val="28"/>
          <w:rtl/>
          <w:lang w:bidi="fa-IR"/>
        </w:rPr>
        <w:t>چراکه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تدرع الحدود </w:t>
      </w:r>
      <w:r w:rsidR="00E00DC7" w:rsidRPr="00FB7887">
        <w:rPr>
          <w:rFonts w:ascii="IRBadr" w:hAnsi="IRBadr" w:cs="IRBadr"/>
          <w:sz w:val="28"/>
          <w:szCs w:val="28"/>
          <w:rtl/>
          <w:lang w:bidi="fa-IR"/>
        </w:rPr>
        <w:t>در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اینجا حد را نفی می‌کند. بنابراین قرینه حالیه لازم نیست قرینه علم آوری یا اطمینان آور باشد. همین </w:t>
      </w:r>
      <w:r w:rsidR="00E00DC7" w:rsidRPr="00FB7887">
        <w:rPr>
          <w:rFonts w:ascii="IRBadr" w:hAnsi="IRBadr" w:cs="IRBadr"/>
          <w:sz w:val="28"/>
          <w:szCs w:val="28"/>
          <w:rtl/>
          <w:lang w:bidi="fa-IR"/>
        </w:rPr>
        <w:t>مقدار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FB7887">
        <w:rPr>
          <w:rFonts w:ascii="IRBadr" w:hAnsi="IRBadr" w:cs="IRBadr"/>
          <w:sz w:val="28"/>
          <w:szCs w:val="28"/>
          <w:rtl/>
          <w:lang w:bidi="fa-IR"/>
        </w:rPr>
        <w:t>شبهه‌ای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ایجاد می‌کند کافی است</w:t>
      </w:r>
      <w:r w:rsidR="00E00DC7" w:rsidRPr="00FB7887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E00DC7" w:rsidRPr="00FB7887" w:rsidRDefault="00E00DC7" w:rsidP="00EA6546">
      <w:pPr>
        <w:pStyle w:val="Heading2"/>
        <w:rPr>
          <w:rFonts w:ascii="IRBadr" w:hAnsi="IRBadr" w:cs="IRBadr"/>
          <w:rtl/>
        </w:rPr>
      </w:pPr>
      <w:bookmarkStart w:id="9" w:name="_Toc427882603"/>
      <w:r w:rsidRPr="00FB7887">
        <w:rPr>
          <w:rFonts w:ascii="IRBadr" w:hAnsi="IRBadr" w:cs="IRBadr"/>
          <w:rtl/>
        </w:rPr>
        <w:t>اعتماد به بینه در این باب</w:t>
      </w:r>
      <w:bookmarkEnd w:id="9"/>
    </w:p>
    <w:p w:rsidR="00E00DC7" w:rsidRPr="00FB7887" w:rsidRDefault="00E216F2" w:rsidP="00EA654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آیا می‌شود در ثبوت شرب مسکر به </w:t>
      </w:r>
      <w:r w:rsidR="00FB7887">
        <w:rPr>
          <w:rFonts w:ascii="IRBadr" w:hAnsi="IRBadr" w:cs="IRBadr"/>
          <w:sz w:val="28"/>
          <w:szCs w:val="28"/>
          <w:rtl/>
          <w:lang w:bidi="fa-IR"/>
        </w:rPr>
        <w:t>قرینه اینکه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دهانش </w:t>
      </w:r>
      <w:r w:rsidR="00E00DC7" w:rsidRPr="00FB7887">
        <w:rPr>
          <w:rFonts w:ascii="IRBadr" w:hAnsi="IRBadr" w:cs="IRBadr"/>
          <w:sz w:val="28"/>
          <w:szCs w:val="28"/>
          <w:rtl/>
          <w:lang w:bidi="fa-IR"/>
        </w:rPr>
        <w:t xml:space="preserve">بو می‌دهد 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اکتفا کنیم </w:t>
      </w:r>
      <w:r w:rsidR="00E00DC7" w:rsidRPr="00FB7887">
        <w:rPr>
          <w:rFonts w:ascii="IRBadr" w:hAnsi="IRBadr" w:cs="IRBadr"/>
          <w:sz w:val="28"/>
          <w:szCs w:val="28"/>
          <w:rtl/>
          <w:lang w:bidi="fa-IR"/>
        </w:rPr>
        <w:t>یا نه؟ یعنی اقرار چیزی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و بینه هم یک چیزی است.</w:t>
      </w:r>
    </w:p>
    <w:p w:rsidR="00F63661" w:rsidRPr="00FB7887" w:rsidRDefault="00E216F2" w:rsidP="00EA654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B7887">
        <w:rPr>
          <w:rFonts w:ascii="IRBadr" w:hAnsi="IRBadr" w:cs="IRBadr"/>
          <w:sz w:val="28"/>
          <w:szCs w:val="28"/>
          <w:rtl/>
          <w:lang w:bidi="fa-IR"/>
        </w:rPr>
        <w:t>علی‌القاعده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نمی‌شود. برای اینکه قرائن و شواهد ممکن است وجهی داشته باشد. اولاً ممکن است که شرب نکرده باشد، قرینه بویی که از دهانش می‌آید، از جای دیگر </w:t>
      </w:r>
      <w:r w:rsidR="00EA6546" w:rsidRPr="00FB7887">
        <w:rPr>
          <w:rFonts w:ascii="IRBadr" w:hAnsi="IRBadr" w:cs="IRBadr"/>
          <w:sz w:val="28"/>
          <w:szCs w:val="28"/>
          <w:rtl/>
          <w:lang w:bidi="fa-IR"/>
        </w:rPr>
        <w:t>پیداشده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E00DC7" w:rsidRPr="00FB7887">
        <w:rPr>
          <w:rFonts w:ascii="IRBadr" w:hAnsi="IRBadr" w:cs="IRBadr"/>
          <w:sz w:val="28"/>
          <w:szCs w:val="28"/>
          <w:rtl/>
          <w:lang w:bidi="fa-IR"/>
        </w:rPr>
        <w:t xml:space="preserve">مثلاً 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ریخته </w:t>
      </w:r>
      <w:r w:rsidR="00EA6546" w:rsidRPr="00FB7887">
        <w:rPr>
          <w:rFonts w:ascii="IRBadr" w:hAnsi="IRBadr" w:cs="IRBadr"/>
          <w:sz w:val="28"/>
          <w:szCs w:val="28"/>
          <w:rtl/>
          <w:lang w:bidi="fa-IR"/>
        </w:rPr>
        <w:t>دردهان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و بیرون ریخته و نخورده است. مگر اینکه </w:t>
      </w:r>
      <w:r w:rsidR="00F63661" w:rsidRPr="00FB7887">
        <w:rPr>
          <w:rFonts w:ascii="IRBadr" w:hAnsi="IRBadr" w:cs="IRBadr"/>
          <w:sz w:val="28"/>
          <w:szCs w:val="28"/>
          <w:rtl/>
          <w:lang w:bidi="fa-IR"/>
        </w:rPr>
        <w:t>قاضی علم پیدا کند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و علمش هم معتبر باشد. </w:t>
      </w:r>
      <w:r w:rsidR="00F63661" w:rsidRPr="00FB7887">
        <w:rPr>
          <w:rFonts w:ascii="IRBadr" w:hAnsi="IRBadr" w:cs="IRBadr"/>
          <w:sz w:val="28"/>
          <w:szCs w:val="28"/>
          <w:rtl/>
          <w:lang w:bidi="fa-IR"/>
        </w:rPr>
        <w:t>البته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تابع این است که علم قاضی را حجت بدهیم یا نه؟ اما اگر عل</w:t>
      </w:r>
      <w:r w:rsidR="00F63661" w:rsidRPr="00FB7887">
        <w:rPr>
          <w:rFonts w:ascii="IRBadr" w:hAnsi="IRBadr" w:cs="IRBadr"/>
          <w:sz w:val="28"/>
          <w:szCs w:val="28"/>
          <w:rtl/>
          <w:lang w:bidi="fa-IR"/>
        </w:rPr>
        <w:t>م نیاورد ط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بعاً این مثبت نیست و نمی‌شود به آن اعتماد کرد. </w:t>
      </w:r>
    </w:p>
    <w:p w:rsidR="00F63661" w:rsidRPr="00FB7887" w:rsidRDefault="00EA6546" w:rsidP="00EA654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B7887">
        <w:rPr>
          <w:rFonts w:ascii="IRBadr" w:hAnsi="IRBadr" w:cs="IRBadr"/>
          <w:sz w:val="28"/>
          <w:szCs w:val="28"/>
          <w:rtl/>
          <w:lang w:bidi="fa-IR"/>
        </w:rPr>
        <w:t>ابوحنیفه</w:t>
      </w:r>
      <w:r w:rsidR="00E216F2" w:rsidRPr="00FB7887">
        <w:rPr>
          <w:rFonts w:ascii="IRBadr" w:hAnsi="IRBadr" w:cs="IRBadr"/>
          <w:sz w:val="28"/>
          <w:szCs w:val="28"/>
          <w:rtl/>
          <w:lang w:bidi="fa-IR"/>
        </w:rPr>
        <w:t xml:space="preserve"> گفته است با ثبوت 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>رایحه</w:t>
      </w:r>
      <w:r w:rsidR="00E216F2" w:rsidRPr="00FB7887">
        <w:rPr>
          <w:rFonts w:ascii="IRBadr" w:hAnsi="IRBadr" w:cs="IRBadr"/>
          <w:sz w:val="28"/>
          <w:szCs w:val="28"/>
          <w:rtl/>
          <w:lang w:bidi="fa-IR"/>
        </w:rPr>
        <w:t xml:space="preserve"> یا آن بویی که از دهان می‌آید شرب مسکر ثابت می‌شود و حد جاری می‌شود. این هم وجهی است که او گفته و دلیلی هم بر آن نیست. مگر اینکه بگوییم منظورش جایی است که علم ایجاد بشود. والا 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>هیچ‌وقت</w:t>
      </w:r>
      <w:r w:rsidR="00E216F2" w:rsidRPr="00FB7887">
        <w:rPr>
          <w:rFonts w:ascii="IRBadr" w:hAnsi="IRBadr" w:cs="IRBadr"/>
          <w:sz w:val="28"/>
          <w:szCs w:val="28"/>
          <w:rtl/>
          <w:lang w:bidi="fa-IR"/>
        </w:rPr>
        <w:t xml:space="preserve"> با یک بوی دهان یعنی به این سادگی علم پیدا نمی‌شود که شرب مسکری کرده که موجب حد است.</w:t>
      </w:r>
    </w:p>
    <w:p w:rsidR="00F63661" w:rsidRPr="00FB7887" w:rsidRDefault="00EA6546" w:rsidP="00EA6546">
      <w:pPr>
        <w:pStyle w:val="Heading3"/>
        <w:rPr>
          <w:rFonts w:ascii="IRBadr" w:hAnsi="IRBadr" w:cs="IRBadr"/>
          <w:rtl/>
        </w:rPr>
      </w:pPr>
      <w:bookmarkStart w:id="10" w:name="_Toc427882604"/>
      <w:r w:rsidRPr="00FB7887">
        <w:rPr>
          <w:rFonts w:ascii="IRBadr" w:hAnsi="IRBadr" w:cs="IRBadr"/>
          <w:rtl/>
        </w:rPr>
        <w:t>مسئله</w:t>
      </w:r>
      <w:r w:rsidR="00F63661" w:rsidRPr="00FB7887">
        <w:rPr>
          <w:rFonts w:ascii="IRBadr" w:hAnsi="IRBadr" w:cs="IRBadr"/>
          <w:rtl/>
        </w:rPr>
        <w:t xml:space="preserve"> هشتم :اقرار بالبینة</w:t>
      </w:r>
      <w:bookmarkEnd w:id="10"/>
    </w:p>
    <w:p w:rsidR="00310635" w:rsidRPr="00FB7887" w:rsidRDefault="00F63661" w:rsidP="00EA654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اقرار فرد نیازمند به دلیل نیست چراکه </w:t>
      </w:r>
      <w:r w:rsidR="00310635" w:rsidRPr="00FB7887">
        <w:rPr>
          <w:rFonts w:ascii="IRBadr" w:hAnsi="IRBadr" w:cs="IRBadr"/>
          <w:sz w:val="28"/>
          <w:szCs w:val="28"/>
          <w:rtl/>
          <w:lang w:bidi="fa-IR"/>
        </w:rPr>
        <w:t>طبق قاعده است؛</w:t>
      </w:r>
    </w:p>
    <w:p w:rsidR="00310635" w:rsidRPr="00FB7887" w:rsidRDefault="00E216F2" w:rsidP="00EA654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Badr" w:eastAsia="Times New Roman" w:hAnsi="IRBadr" w:cs="IRBadr"/>
          <w:color w:val="000000"/>
          <w:sz w:val="2"/>
          <w:szCs w:val="2"/>
          <w:lang w:bidi="fa-IR"/>
        </w:rPr>
      </w:pP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</w:p>
    <w:p w:rsidR="00310635" w:rsidRPr="00FB7887" w:rsidRDefault="00310635" w:rsidP="00EA654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</w:pPr>
      <w:r w:rsidRPr="00FB788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«و إقرار العقلاء</w:t>
      </w:r>
      <w:r w:rsidRPr="00FB788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Pr="00FB788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على أنفسهم جائز</w:t>
      </w:r>
      <w:r w:rsidRPr="00FB788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>.</w:t>
      </w:r>
      <w:r w:rsidRPr="00FB788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»</w:t>
      </w:r>
      <w:r w:rsidRPr="00FB7887">
        <w:rPr>
          <w:rStyle w:val="FootnoteReference"/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footnoteReference w:id="2"/>
      </w:r>
    </w:p>
    <w:p w:rsidR="00310635" w:rsidRPr="00FB7887" w:rsidRDefault="00E216F2" w:rsidP="00EA654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مسئله هشتم این است که اقرار </w:t>
      </w:r>
      <w:r w:rsidR="00EA6546" w:rsidRPr="00FB7887">
        <w:rPr>
          <w:rFonts w:ascii="IRBadr" w:hAnsi="IRBadr" w:cs="IRBadr"/>
          <w:sz w:val="28"/>
          <w:szCs w:val="28"/>
          <w:rtl/>
          <w:lang w:bidi="fa-IR"/>
        </w:rPr>
        <w:t>بابینه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ثابت می‌شود. این هم دلیل خاصی نمی‌خواهد. برای اینکه در باب قضا و شهادات </w:t>
      </w:r>
      <w:r w:rsidR="00EA6546" w:rsidRPr="00FB7887">
        <w:rPr>
          <w:rFonts w:ascii="IRBadr" w:hAnsi="IRBadr" w:cs="IRBadr"/>
          <w:sz w:val="28"/>
          <w:szCs w:val="28"/>
          <w:rtl/>
          <w:lang w:bidi="fa-IR"/>
        </w:rPr>
        <w:t>گفته‌شده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310635" w:rsidRPr="00FB7887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310635" w:rsidRPr="00FB7887" w:rsidRDefault="00310635" w:rsidP="00EA6546">
      <w:pPr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lang w:bidi="fa-IR"/>
        </w:rPr>
      </w:pPr>
      <w:r w:rsidRPr="00FB788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«عَلِيُّ بْنُ إِبْرَاهِيمَ عَنْ أَبِيهِ عَنِ ابْنِ أَبِي عُمَيْرٍ عَنْ حَمَّادٍ عَنِ الْحَلَبِيِّ عَنْ جَمِيلٍ وَ هِشَامٍ عَنْ أَبِي عَبْدِ اللَّهِ ع قَالَ قَالَ </w:t>
      </w:r>
      <w:r w:rsidR="00FB788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رسول‌الله</w:t>
      </w:r>
      <w:r w:rsidRPr="00FB788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ص</w:t>
      </w:r>
      <w:r w:rsidRPr="00FB788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Pr="00FB788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الْبَيِّنَةُ عَلَى مَنِ ادَّعَى</w:t>
      </w:r>
      <w:r w:rsidRPr="00FB788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Pr="00FB788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وَ الْيَمِينُ عَلَى مَنِ ادُّعِيَ عَلَيْه»</w:t>
      </w:r>
      <w:r w:rsidRPr="00FB7887">
        <w:rPr>
          <w:rStyle w:val="FootnoteReference"/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footnoteReference w:id="3"/>
      </w:r>
      <w:r w:rsidRPr="00FB788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:rsidR="00310635" w:rsidRPr="00FB7887" w:rsidRDefault="00310635" w:rsidP="00EA654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Badr" w:eastAsia="Times New Roman" w:hAnsi="IRBadr" w:cs="IRBadr"/>
          <w:color w:val="000000"/>
          <w:sz w:val="2"/>
          <w:szCs w:val="2"/>
          <w:lang w:bidi="fa-IR"/>
        </w:rPr>
      </w:pPr>
    </w:p>
    <w:p w:rsidR="00F63661" w:rsidRPr="00FB7887" w:rsidRDefault="00F63661" w:rsidP="00EA6546">
      <w:pPr>
        <w:pStyle w:val="Heading3"/>
        <w:rPr>
          <w:rFonts w:ascii="IRBadr" w:hAnsi="IRBadr" w:cs="IRBadr"/>
          <w:rtl/>
        </w:rPr>
      </w:pPr>
      <w:bookmarkStart w:id="11" w:name="_Toc427882605"/>
      <w:r w:rsidRPr="00FB7887">
        <w:rPr>
          <w:rFonts w:ascii="IRBadr" w:hAnsi="IRBadr" w:cs="IRBadr"/>
          <w:rtl/>
        </w:rPr>
        <w:t>اصل در بینه</w:t>
      </w:r>
      <w:bookmarkEnd w:id="11"/>
    </w:p>
    <w:p w:rsidR="00F63661" w:rsidRPr="00FB7887" w:rsidRDefault="00E216F2" w:rsidP="00EA654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و ادله اعتبار بینه و شاهدین عدلین در جای خودش ذکر شد، </w:t>
      </w:r>
      <w:r w:rsidR="00EA6546" w:rsidRPr="00FB7887">
        <w:rPr>
          <w:rFonts w:ascii="IRBadr" w:hAnsi="IRBadr" w:cs="IRBadr"/>
          <w:sz w:val="28"/>
          <w:szCs w:val="28"/>
          <w:rtl/>
          <w:lang w:bidi="fa-IR"/>
        </w:rPr>
        <w:t>آن‌هم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یک قاعده کلی است، مگر جایی که بگوید دو </w:t>
      </w:r>
      <w:r w:rsidR="00F63661" w:rsidRPr="00FB7887">
        <w:rPr>
          <w:rFonts w:ascii="IRBadr" w:hAnsi="IRBadr" w:cs="IRBadr"/>
          <w:sz w:val="28"/>
          <w:szCs w:val="28"/>
          <w:rtl/>
          <w:lang w:bidi="fa-IR"/>
        </w:rPr>
        <w:t>نفر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کافی نیست، باید چهار </w:t>
      </w:r>
      <w:r w:rsidR="00F63661" w:rsidRPr="00FB7887">
        <w:rPr>
          <w:rFonts w:ascii="IRBadr" w:hAnsi="IRBadr" w:cs="IRBadr"/>
          <w:sz w:val="28"/>
          <w:szCs w:val="28"/>
          <w:rtl/>
          <w:lang w:bidi="fa-IR"/>
        </w:rPr>
        <w:t>نفر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بشود. همانی که در باب زناست، والا اصل این است که یکی از مثبتات در مقام قضا بینه یعنی شاهدین عادلین است. </w:t>
      </w:r>
      <w:r w:rsidR="00F63661" w:rsidRPr="00FB7887">
        <w:rPr>
          <w:rFonts w:ascii="IRBadr" w:hAnsi="IRBadr" w:cs="IRBadr"/>
          <w:sz w:val="28"/>
          <w:szCs w:val="28"/>
          <w:rtl/>
          <w:lang w:bidi="fa-IR"/>
        </w:rPr>
        <w:t>پس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قاعده اول و اطلاقات می‌گوید، بینه دلیل </w:t>
      </w:r>
      <w:r w:rsidR="00F63661" w:rsidRPr="00FB7887">
        <w:rPr>
          <w:rFonts w:ascii="IRBadr" w:hAnsi="IRBadr" w:cs="IRBadr"/>
          <w:sz w:val="28"/>
          <w:szCs w:val="28"/>
          <w:rtl/>
          <w:lang w:bidi="fa-IR"/>
        </w:rPr>
        <w:t>و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مستند قضایی است. </w:t>
      </w:r>
    </w:p>
    <w:p w:rsidR="00F63661" w:rsidRPr="00FB7887" w:rsidRDefault="00F63661" w:rsidP="00EA6546">
      <w:pPr>
        <w:pStyle w:val="Heading3"/>
        <w:rPr>
          <w:rFonts w:ascii="IRBadr" w:hAnsi="IRBadr" w:cs="IRBadr"/>
          <w:rtl/>
        </w:rPr>
      </w:pPr>
      <w:bookmarkStart w:id="12" w:name="_Toc427882606"/>
      <w:r w:rsidRPr="00FB7887">
        <w:rPr>
          <w:rFonts w:ascii="IRBadr" w:hAnsi="IRBadr" w:cs="IRBadr"/>
          <w:rtl/>
        </w:rPr>
        <w:t>بینه در مطلق موضوعات</w:t>
      </w:r>
      <w:bookmarkEnd w:id="12"/>
    </w:p>
    <w:p w:rsidR="00F63661" w:rsidRPr="00FB7887" w:rsidRDefault="00E216F2" w:rsidP="00EA654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در مطلق موضوعات بینه لازم است، یا اینکه </w:t>
      </w:r>
      <w:r w:rsidR="00F63661" w:rsidRPr="00FB7887">
        <w:rPr>
          <w:rFonts w:ascii="IRBadr" w:hAnsi="IRBadr" w:cs="IRBadr"/>
          <w:sz w:val="28"/>
          <w:szCs w:val="28"/>
          <w:rtl/>
          <w:lang w:bidi="fa-IR"/>
        </w:rPr>
        <w:t>اگر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در مقام</w:t>
      </w:r>
      <w:r w:rsidR="00F63661" w:rsidRPr="00FB7887">
        <w:rPr>
          <w:rFonts w:ascii="IRBadr" w:hAnsi="IRBadr" w:cs="IRBadr"/>
          <w:sz w:val="28"/>
          <w:szCs w:val="28"/>
          <w:rtl/>
          <w:lang w:bidi="fa-IR"/>
        </w:rPr>
        <w:t xml:space="preserve"> قضا باشد، باید بینه اقامه بشود؟</w:t>
      </w:r>
    </w:p>
    <w:p w:rsidR="00F63661" w:rsidRPr="00FB7887" w:rsidRDefault="00E216F2" w:rsidP="00EA654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در قضا هیچ اختلافی نیست</w:t>
      </w:r>
      <w:r w:rsidR="00F63661" w:rsidRPr="00FB7887">
        <w:rPr>
          <w:rFonts w:ascii="IRBadr" w:hAnsi="IRBadr" w:cs="IRBadr"/>
          <w:sz w:val="28"/>
          <w:szCs w:val="28"/>
          <w:rtl/>
          <w:lang w:bidi="fa-IR"/>
        </w:rPr>
        <w:t xml:space="preserve"> که باید بینه باشد و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با یک نفر چیزی ثابت نمی‌شود. یک نظر این است که در غیر قضا هم در موضوعات </w:t>
      </w:r>
      <w:r w:rsidR="00EA6546" w:rsidRPr="00FB7887">
        <w:rPr>
          <w:rFonts w:ascii="IRBadr" w:hAnsi="IRBadr" w:cs="IRBadr"/>
          <w:sz w:val="28"/>
          <w:szCs w:val="28"/>
          <w:rtl/>
          <w:lang w:bidi="fa-IR"/>
        </w:rPr>
        <w:t>همین‌طور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است و </w:t>
      </w:r>
      <w:r w:rsidR="00F63661" w:rsidRPr="00FB7887">
        <w:rPr>
          <w:rFonts w:ascii="IRBadr" w:hAnsi="IRBadr" w:cs="IRBadr"/>
          <w:sz w:val="28"/>
          <w:szCs w:val="28"/>
          <w:rtl/>
          <w:lang w:bidi="fa-IR"/>
        </w:rPr>
        <w:t xml:space="preserve"> باید 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بینه باشد، مثل طهارت و نجاست </w:t>
      </w:r>
      <w:r w:rsidR="00F63661" w:rsidRPr="00FB7887">
        <w:rPr>
          <w:rFonts w:ascii="IRBadr" w:hAnsi="IRBadr" w:cs="IRBadr"/>
          <w:sz w:val="28"/>
          <w:szCs w:val="28"/>
          <w:rtl/>
          <w:lang w:bidi="fa-IR"/>
        </w:rPr>
        <w:t>.یک نظر هم این است که به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قول واحد هم در طهارت و</w:t>
      </w:r>
      <w:r w:rsidR="00F63661" w:rsidRPr="00FB7887">
        <w:rPr>
          <w:rFonts w:ascii="IRBadr" w:hAnsi="IRBadr" w:cs="IRBadr"/>
          <w:sz w:val="28"/>
          <w:szCs w:val="28"/>
          <w:rtl/>
          <w:lang w:bidi="fa-IR"/>
        </w:rPr>
        <w:t xml:space="preserve"> هم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نجاست می‌شود اعتماد کرد. اختلاف جدی در غیر باب قضا در موضوعات است. اما در روایات و احکام </w:t>
      </w:r>
      <w:r w:rsidR="00F63661" w:rsidRPr="00FB7887">
        <w:rPr>
          <w:rFonts w:ascii="IRBadr" w:hAnsi="IRBadr" w:cs="IRBadr"/>
          <w:sz w:val="28"/>
          <w:szCs w:val="28"/>
          <w:rtl/>
          <w:lang w:bidi="fa-IR"/>
        </w:rPr>
        <w:t>خبر ثقه حجت است.</w:t>
      </w:r>
    </w:p>
    <w:p w:rsidR="00F63661" w:rsidRPr="00FB7887" w:rsidRDefault="00F63661" w:rsidP="00EA6546">
      <w:pPr>
        <w:pStyle w:val="Heading3"/>
        <w:rPr>
          <w:rFonts w:ascii="IRBadr" w:hAnsi="IRBadr" w:cs="IRBadr"/>
          <w:rtl/>
        </w:rPr>
      </w:pPr>
      <w:bookmarkStart w:id="13" w:name="_Toc427882607"/>
      <w:r w:rsidRPr="00FB7887">
        <w:rPr>
          <w:rFonts w:ascii="IRBadr" w:hAnsi="IRBadr" w:cs="IRBadr"/>
          <w:rtl/>
        </w:rPr>
        <w:t>شهادت زن در این باب</w:t>
      </w:r>
      <w:bookmarkEnd w:id="13"/>
    </w:p>
    <w:p w:rsidR="00192543" w:rsidRPr="00FB7887" w:rsidRDefault="00E216F2" w:rsidP="00EA654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فرع بعدی این است که شهادت زن در اینجا مقدور است یا نه؟ و اگر مقدور است </w:t>
      </w:r>
      <w:r w:rsidR="00EA6546" w:rsidRPr="00FB7887">
        <w:rPr>
          <w:rFonts w:ascii="IRBadr" w:hAnsi="IRBadr" w:cs="IRBadr"/>
          <w:sz w:val="28"/>
          <w:szCs w:val="28"/>
          <w:rtl/>
          <w:lang w:bidi="fa-IR"/>
        </w:rPr>
        <w:t>به‌تنهایی</w:t>
      </w:r>
      <w:r w:rsidR="00F63661" w:rsidRPr="00FB7887">
        <w:rPr>
          <w:rFonts w:ascii="IRBadr" w:hAnsi="IRBadr" w:cs="IRBadr"/>
          <w:sz w:val="28"/>
          <w:szCs w:val="28"/>
          <w:rtl/>
          <w:lang w:bidi="fa-IR"/>
        </w:rPr>
        <w:t xml:space="preserve"> کفایت </w:t>
      </w:r>
      <w:r w:rsidR="00EA6546" w:rsidRPr="00FB7887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F63661" w:rsidRPr="00FB7887">
        <w:rPr>
          <w:rFonts w:ascii="IRBadr" w:hAnsi="IRBadr" w:cs="IRBadr"/>
          <w:sz w:val="28"/>
          <w:szCs w:val="28"/>
          <w:rtl/>
          <w:lang w:bidi="fa-IR"/>
        </w:rPr>
        <w:t>؟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چون هر دو </w:t>
      </w:r>
      <w:r w:rsidR="00F63661" w:rsidRPr="00FB7887">
        <w:rPr>
          <w:rFonts w:ascii="IRBadr" w:hAnsi="IRBadr" w:cs="IRBadr"/>
          <w:sz w:val="28"/>
          <w:szCs w:val="28"/>
          <w:rtl/>
          <w:lang w:bidi="fa-IR"/>
        </w:rPr>
        <w:t xml:space="preserve">نفر از </w:t>
      </w:r>
      <w:r w:rsidR="00EA6546" w:rsidRPr="00FB7887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F63661" w:rsidRPr="00FB788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>در حکم یکی است</w:t>
      </w:r>
      <w:r w:rsidR="00F63661" w:rsidRPr="00FB7887">
        <w:rPr>
          <w:rFonts w:ascii="IRBadr" w:hAnsi="IRBadr" w:cs="IRBadr"/>
          <w:sz w:val="28"/>
          <w:szCs w:val="28"/>
          <w:rtl/>
          <w:lang w:bidi="fa-IR"/>
        </w:rPr>
        <w:t>.</w:t>
      </w:r>
      <w:r w:rsidR="00192543" w:rsidRPr="00FB788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>هیچ دلیل خاصی در باب شرب و مسکر راجع</w:t>
      </w:r>
      <w:r w:rsidR="00F63661" w:rsidRPr="00FB7887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شهادت زن نداریم.</w:t>
      </w:r>
      <w:r w:rsidR="00F63661" w:rsidRPr="00FB7887">
        <w:rPr>
          <w:rFonts w:ascii="IRBadr" w:hAnsi="IRBadr" w:cs="IRBadr"/>
          <w:sz w:val="28"/>
          <w:szCs w:val="28"/>
          <w:rtl/>
          <w:lang w:bidi="fa-IR"/>
        </w:rPr>
        <w:t>لذا در اینجا نیز حکم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تابع آن قواعد کلی است که در باب شهادات </w:t>
      </w:r>
      <w:r w:rsidR="00EA6546" w:rsidRPr="00FB7887">
        <w:rPr>
          <w:rFonts w:ascii="IRBadr" w:hAnsi="IRBadr" w:cs="IRBadr"/>
          <w:sz w:val="28"/>
          <w:szCs w:val="28"/>
          <w:rtl/>
          <w:lang w:bidi="fa-IR"/>
        </w:rPr>
        <w:t>گفته‌شده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F63661" w:rsidRPr="00FB7887">
        <w:rPr>
          <w:rFonts w:ascii="IRBadr" w:hAnsi="IRBadr" w:cs="IRBadr"/>
          <w:sz w:val="28"/>
          <w:szCs w:val="28"/>
          <w:rtl/>
          <w:lang w:bidi="fa-IR"/>
        </w:rPr>
        <w:t>ست.</w:t>
      </w:r>
    </w:p>
    <w:p w:rsidR="00192543" w:rsidRPr="00FB7887" w:rsidRDefault="00192543" w:rsidP="00EA6546">
      <w:pPr>
        <w:pStyle w:val="Heading3"/>
        <w:rPr>
          <w:rFonts w:ascii="IRBadr" w:hAnsi="IRBadr" w:cs="IRBadr"/>
          <w:rtl/>
        </w:rPr>
      </w:pPr>
      <w:bookmarkStart w:id="14" w:name="_Toc427882608"/>
      <w:r w:rsidRPr="00FB7887">
        <w:rPr>
          <w:rFonts w:ascii="IRBadr" w:hAnsi="IRBadr" w:cs="IRBadr"/>
          <w:rtl/>
        </w:rPr>
        <w:t>آراء در این زمینه</w:t>
      </w:r>
      <w:bookmarkEnd w:id="14"/>
    </w:p>
    <w:p w:rsidR="00F63661" w:rsidRPr="00FB7887" w:rsidRDefault="00F63661" w:rsidP="00EA654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نظر امام این بوده که</w:t>
      </w:r>
      <w:r w:rsidR="00E216F2" w:rsidRPr="00FB7887">
        <w:rPr>
          <w:rFonts w:ascii="IRBadr" w:hAnsi="IRBadr" w:cs="IRBadr"/>
          <w:sz w:val="28"/>
          <w:szCs w:val="28"/>
          <w:rtl/>
          <w:lang w:bidi="fa-IR"/>
        </w:rPr>
        <w:t xml:space="preserve"> اصل این است شهادت زن در حدود قبول نیست. نه منفرداً نه منضماً 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>،در مواردی</w:t>
      </w:r>
      <w:r w:rsidR="00E216F2" w:rsidRPr="00FB7887">
        <w:rPr>
          <w:rFonts w:ascii="IRBadr" w:hAnsi="IRBadr" w:cs="IRBadr"/>
          <w:sz w:val="28"/>
          <w:szCs w:val="28"/>
          <w:rtl/>
          <w:lang w:bidi="fa-IR"/>
        </w:rPr>
        <w:t xml:space="preserve"> که قبول است، دلیل خاص می‌خواهد. </w:t>
      </w:r>
      <w:r w:rsidR="00EA6546" w:rsidRPr="00FB7887">
        <w:rPr>
          <w:rFonts w:ascii="IRBadr" w:hAnsi="IRBadr" w:cs="IRBadr"/>
          <w:sz w:val="28"/>
          <w:szCs w:val="28"/>
          <w:rtl/>
          <w:lang w:bidi="fa-IR"/>
        </w:rPr>
        <w:t>مثل‌اینکه</w:t>
      </w:r>
      <w:r w:rsidR="00E216F2" w:rsidRPr="00FB7887">
        <w:rPr>
          <w:rFonts w:ascii="IRBadr" w:hAnsi="IRBadr" w:cs="IRBadr"/>
          <w:sz w:val="28"/>
          <w:szCs w:val="28"/>
          <w:rtl/>
          <w:lang w:bidi="fa-IR"/>
        </w:rPr>
        <w:t xml:space="preserve"> در باب زنا دلیل خاص آمده که </w:t>
      </w:r>
      <w:r w:rsidR="00EA6546" w:rsidRPr="00FB7887">
        <w:rPr>
          <w:rFonts w:ascii="IRBadr" w:hAnsi="IRBadr" w:cs="IRBadr"/>
          <w:sz w:val="28"/>
          <w:szCs w:val="28"/>
          <w:rtl/>
          <w:lang w:bidi="fa-IR"/>
        </w:rPr>
        <w:t>به‌صورت</w:t>
      </w:r>
      <w:r w:rsidR="00E216F2" w:rsidRPr="00FB7887">
        <w:rPr>
          <w:rFonts w:ascii="IRBadr" w:hAnsi="IRBadr" w:cs="IRBadr"/>
          <w:sz w:val="28"/>
          <w:szCs w:val="28"/>
          <w:rtl/>
          <w:lang w:bidi="fa-IR"/>
        </w:rPr>
        <w:t xml:space="preserve"> منضم </w:t>
      </w:r>
      <w:r w:rsidR="00FB7887">
        <w:rPr>
          <w:rFonts w:ascii="IRBadr" w:hAnsi="IRBadr" w:cs="IRBadr"/>
          <w:sz w:val="28"/>
          <w:szCs w:val="28"/>
          <w:rtl/>
          <w:lang w:bidi="fa-IR"/>
        </w:rPr>
        <w:t>قابل‌قبول</w:t>
      </w:r>
      <w:r w:rsidR="00E216F2" w:rsidRPr="00FB7887">
        <w:rPr>
          <w:rFonts w:ascii="IRBadr" w:hAnsi="IRBadr" w:cs="IRBadr"/>
          <w:sz w:val="28"/>
          <w:szCs w:val="28"/>
          <w:rtl/>
          <w:lang w:bidi="fa-IR"/>
        </w:rPr>
        <w:t xml:space="preserve"> است. </w:t>
      </w:r>
    </w:p>
    <w:p w:rsidR="00192543" w:rsidRPr="00FB7887" w:rsidRDefault="00E216F2" w:rsidP="00EA654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B7887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یک مبنا این است که شهادت زن در حدود </w:t>
      </w:r>
      <w:r w:rsidR="00EA6546" w:rsidRPr="00FB7887">
        <w:rPr>
          <w:rFonts w:ascii="IRBadr" w:hAnsi="IRBadr" w:cs="IRBadr"/>
          <w:sz w:val="28"/>
          <w:szCs w:val="28"/>
          <w:rtl/>
          <w:lang w:bidi="fa-IR"/>
        </w:rPr>
        <w:t>به‌صورت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منضم قبول است، بعضی هم این را </w:t>
      </w:r>
      <w:r w:rsidR="00EA6546" w:rsidRPr="00FB7887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، جناب آقای خویی همین فرمودند. اما اینکه شهادت زن </w:t>
      </w:r>
      <w:r w:rsidR="00FB7887">
        <w:rPr>
          <w:rFonts w:ascii="IRBadr" w:hAnsi="IRBadr" w:cs="IRBadr"/>
          <w:sz w:val="28"/>
          <w:szCs w:val="28"/>
          <w:rtl/>
          <w:lang w:bidi="fa-IR"/>
        </w:rPr>
        <w:t>به‌صورت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منفرد قبول است، ظاهراً قائلی وجود ن</w:t>
      </w:r>
      <w:r w:rsidR="00192543" w:rsidRPr="00FB7887">
        <w:rPr>
          <w:rFonts w:ascii="IRBadr" w:hAnsi="IRBadr" w:cs="IRBadr"/>
          <w:sz w:val="28"/>
          <w:szCs w:val="28"/>
          <w:rtl/>
          <w:lang w:bidi="fa-IR"/>
        </w:rPr>
        <w:t>دارد. بنابراین دو قول در اینجا وجود دارد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92543" w:rsidRPr="00FB7887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192543" w:rsidRPr="00FB7887" w:rsidRDefault="00E216F2" w:rsidP="00EA654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اما اگر دو زن </w:t>
      </w:r>
      <w:r w:rsidR="00C675F2" w:rsidRPr="00FB7887">
        <w:rPr>
          <w:rFonts w:ascii="IRBadr" w:hAnsi="IRBadr" w:cs="IRBadr"/>
          <w:sz w:val="28"/>
          <w:szCs w:val="28"/>
          <w:rtl/>
          <w:lang w:bidi="fa-IR"/>
        </w:rPr>
        <w:t>به‌صورت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انضمامی با مرد باشد،</w:t>
      </w:r>
      <w:r w:rsidR="00192543" w:rsidRPr="00FB788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675F2" w:rsidRPr="00FB7887">
        <w:rPr>
          <w:rFonts w:ascii="IRBadr" w:hAnsi="IRBadr" w:cs="IRBadr"/>
          <w:sz w:val="28"/>
          <w:szCs w:val="28"/>
          <w:rtl/>
          <w:lang w:bidi="fa-IR"/>
        </w:rPr>
        <w:t>قابل‌قبول</w:t>
      </w:r>
      <w:r w:rsidR="00192543" w:rsidRPr="00FB7887">
        <w:rPr>
          <w:rFonts w:ascii="IRBadr" w:hAnsi="IRBadr" w:cs="IRBadr"/>
          <w:sz w:val="28"/>
          <w:szCs w:val="28"/>
          <w:rtl/>
          <w:lang w:bidi="fa-IR"/>
        </w:rPr>
        <w:t xml:space="preserve"> است؟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این هم تابع همان نظر کلی است که ما در باب شهادات آن را می‌پذیریم که من فکر م</w:t>
      </w:r>
      <w:r w:rsidR="00192543" w:rsidRPr="00FB7887">
        <w:rPr>
          <w:rFonts w:ascii="IRBadr" w:hAnsi="IRBadr" w:cs="IRBadr"/>
          <w:sz w:val="28"/>
          <w:szCs w:val="28"/>
          <w:rtl/>
          <w:lang w:bidi="fa-IR"/>
        </w:rPr>
        <w:t>ی‌کنم آنجا منضماً را قبول کردیم.</w:t>
      </w:r>
    </w:p>
    <w:p w:rsidR="00192543" w:rsidRPr="00FB7887" w:rsidRDefault="00192543" w:rsidP="00EA6546">
      <w:pPr>
        <w:pStyle w:val="Heading3"/>
        <w:rPr>
          <w:rFonts w:ascii="IRBadr" w:hAnsi="IRBadr" w:cs="IRBadr"/>
          <w:rtl/>
        </w:rPr>
      </w:pPr>
      <w:bookmarkStart w:id="15" w:name="_Toc427882609"/>
      <w:r w:rsidRPr="00FB7887">
        <w:rPr>
          <w:rFonts w:ascii="IRBadr" w:hAnsi="IRBadr" w:cs="IRBadr"/>
          <w:rtl/>
        </w:rPr>
        <w:t>اختلاف شهادات</w:t>
      </w:r>
      <w:bookmarkEnd w:id="15"/>
    </w:p>
    <w:p w:rsidR="00192543" w:rsidRPr="00FB7887" w:rsidRDefault="00192543" w:rsidP="00EA654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B7887">
        <w:rPr>
          <w:rFonts w:ascii="IRBadr" w:hAnsi="IRBadr" w:cs="IRBadr"/>
          <w:sz w:val="28"/>
          <w:szCs w:val="28"/>
          <w:rtl/>
          <w:lang w:bidi="fa-IR"/>
        </w:rPr>
        <w:t>اگر دو نفر</w:t>
      </w:r>
      <w:r w:rsidR="00E216F2" w:rsidRPr="00FB7887">
        <w:rPr>
          <w:rFonts w:ascii="IRBadr" w:hAnsi="IRBadr" w:cs="IRBadr"/>
          <w:sz w:val="28"/>
          <w:szCs w:val="28"/>
          <w:rtl/>
          <w:lang w:bidi="fa-IR"/>
        </w:rPr>
        <w:t xml:space="preserve"> گفتند، آن مسکر آشامیده است،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ولی</w:t>
      </w:r>
      <w:r w:rsidR="00E216F2" w:rsidRPr="00FB7887">
        <w:rPr>
          <w:rFonts w:ascii="IRBadr" w:hAnsi="IRBadr" w:cs="IRBadr"/>
          <w:sz w:val="28"/>
          <w:szCs w:val="28"/>
          <w:rtl/>
          <w:lang w:bidi="fa-IR"/>
        </w:rPr>
        <w:t xml:space="preserve"> در خصوصیات اختلاف داشتند، یکی می‌گوید آن شرب مسکر کرد، مثلاً ف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>قاع خورد، یکی می‌گوید خمر خورد یا در زمان با یکدیگر اختلاف دارند ،</w:t>
      </w:r>
      <w:r w:rsidR="00E216F2" w:rsidRPr="00FB7887">
        <w:rPr>
          <w:rFonts w:ascii="IRBadr" w:hAnsi="IRBadr" w:cs="IRBadr"/>
          <w:sz w:val="28"/>
          <w:szCs w:val="28"/>
          <w:rtl/>
          <w:lang w:bidi="fa-IR"/>
        </w:rPr>
        <w:t xml:space="preserve"> طبق نظری که سابق </w:t>
      </w:r>
      <w:r w:rsidR="00C675F2" w:rsidRPr="00FB7887">
        <w:rPr>
          <w:rFonts w:ascii="IRBadr" w:hAnsi="IRBadr" w:cs="IRBadr"/>
          <w:sz w:val="28"/>
          <w:szCs w:val="28"/>
          <w:rtl/>
          <w:lang w:bidi="fa-IR"/>
        </w:rPr>
        <w:t>هم‌پایه‌اش</w:t>
      </w:r>
      <w:r w:rsidR="00E216F2" w:rsidRPr="00FB7887">
        <w:rPr>
          <w:rFonts w:ascii="IRBadr" w:hAnsi="IRBadr" w:cs="IRBadr"/>
          <w:sz w:val="28"/>
          <w:szCs w:val="28"/>
          <w:rtl/>
          <w:lang w:bidi="fa-IR"/>
        </w:rPr>
        <w:t xml:space="preserve"> ریخته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شد،</w:t>
      </w:r>
      <w:r w:rsidR="00E216F2" w:rsidRPr="00FB7887">
        <w:rPr>
          <w:rFonts w:ascii="IRBadr" w:hAnsi="IRBadr" w:cs="IRBadr"/>
          <w:sz w:val="28"/>
          <w:szCs w:val="28"/>
          <w:rtl/>
          <w:lang w:bidi="fa-IR"/>
        </w:rPr>
        <w:t xml:space="preserve"> آن دیگر شهادت نمی‌شود </w:t>
      </w:r>
      <w:r w:rsidR="00C675F2" w:rsidRPr="00FB7887">
        <w:rPr>
          <w:rFonts w:ascii="IRBadr" w:hAnsi="IRBadr" w:cs="IRBadr"/>
          <w:sz w:val="28"/>
          <w:szCs w:val="28"/>
          <w:rtl/>
          <w:lang w:bidi="fa-IR"/>
        </w:rPr>
        <w:t>قابل‌قبول</w:t>
      </w:r>
      <w:r w:rsidR="00E216F2" w:rsidRPr="00FB7887">
        <w:rPr>
          <w:rFonts w:ascii="IRBadr" w:hAnsi="IRBadr" w:cs="IRBadr"/>
          <w:sz w:val="28"/>
          <w:szCs w:val="28"/>
          <w:rtl/>
          <w:lang w:bidi="fa-IR"/>
        </w:rPr>
        <w:t xml:space="preserve"> نیست.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="00E216F2" w:rsidRPr="00FB7887">
        <w:rPr>
          <w:rFonts w:ascii="IRBadr" w:hAnsi="IRBadr" w:cs="IRBadr"/>
          <w:sz w:val="28"/>
          <w:szCs w:val="28"/>
          <w:rtl/>
          <w:lang w:bidi="fa-IR"/>
        </w:rPr>
        <w:t xml:space="preserve"> این خصوصیات باید </w:t>
      </w:r>
      <w:r w:rsidR="00FB7887">
        <w:rPr>
          <w:rFonts w:ascii="IRBadr" w:hAnsi="IRBadr" w:cs="IRBadr"/>
          <w:sz w:val="28"/>
          <w:szCs w:val="28"/>
          <w:rtl/>
          <w:lang w:bidi="fa-IR"/>
        </w:rPr>
        <w:t>موافق</w:t>
      </w:r>
      <w:r w:rsidR="00E216F2" w:rsidRPr="00FB7887">
        <w:rPr>
          <w:rFonts w:ascii="IRBadr" w:hAnsi="IRBadr" w:cs="IRBadr"/>
          <w:sz w:val="28"/>
          <w:szCs w:val="28"/>
          <w:rtl/>
          <w:lang w:bidi="fa-IR"/>
        </w:rPr>
        <w:t xml:space="preserve"> باشد. بله اگر یکی مطلق بیاورد، بگوید شرب خمر کرده است بدون اینکه خصوصیات را ذکر کند. اما دیگری بگوید شب شرب خمر کرد یا فقاع خورد 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که به نحوی </w:t>
      </w:r>
      <w:r w:rsidR="00E216F2" w:rsidRPr="00FB7887">
        <w:rPr>
          <w:rFonts w:ascii="IRBadr" w:hAnsi="IRBadr" w:cs="IRBadr"/>
          <w:sz w:val="28"/>
          <w:szCs w:val="28"/>
          <w:rtl/>
          <w:lang w:bidi="fa-IR"/>
        </w:rPr>
        <w:t>مقید است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E216F2" w:rsidRPr="00FB7887">
        <w:rPr>
          <w:rFonts w:ascii="IRBadr" w:hAnsi="IRBadr" w:cs="IRBadr"/>
          <w:sz w:val="28"/>
          <w:szCs w:val="28"/>
          <w:rtl/>
          <w:lang w:bidi="fa-IR"/>
        </w:rPr>
        <w:t xml:space="preserve"> می‌تواند به هم منطبق باشد، البته 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آن </w:t>
      </w:r>
      <w:r w:rsidR="00E216F2" w:rsidRPr="00FB7887">
        <w:rPr>
          <w:rFonts w:ascii="IRBadr" w:hAnsi="IRBadr" w:cs="IRBadr"/>
          <w:sz w:val="28"/>
          <w:szCs w:val="28"/>
          <w:rtl/>
          <w:lang w:bidi="fa-IR"/>
        </w:rPr>
        <w:t xml:space="preserve">اشکالی ندارد. این هم </w:t>
      </w:r>
      <w:r w:rsidR="00C675F2" w:rsidRPr="00FB7887">
        <w:rPr>
          <w:rFonts w:ascii="IRBadr" w:hAnsi="IRBadr" w:cs="IRBadr"/>
          <w:sz w:val="28"/>
          <w:szCs w:val="28"/>
          <w:rtl/>
          <w:lang w:bidi="fa-IR"/>
        </w:rPr>
        <w:t>برمی‌گردد</w:t>
      </w:r>
      <w:r w:rsidR="00E216F2" w:rsidRPr="00FB7887">
        <w:rPr>
          <w:rFonts w:ascii="IRBadr" w:hAnsi="IRBadr" w:cs="IRBadr"/>
          <w:sz w:val="28"/>
          <w:szCs w:val="28"/>
          <w:rtl/>
          <w:lang w:bidi="fa-IR"/>
        </w:rPr>
        <w:t xml:space="preserve"> به بحثی که در شهادات مفصل بحث کردیم. هشت طایفه 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روایت داشتیم، بحث </w:t>
      </w:r>
      <w:r w:rsidR="00C675F2" w:rsidRPr="00FB7887">
        <w:rPr>
          <w:rFonts w:ascii="IRBadr" w:hAnsi="IRBadr" w:cs="IRBadr"/>
          <w:sz w:val="28"/>
          <w:szCs w:val="28"/>
          <w:rtl/>
          <w:lang w:bidi="fa-IR"/>
        </w:rPr>
        <w:t>پیچیده‌ای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بود</w:t>
      </w:r>
      <w:r w:rsidR="00E216F2" w:rsidRPr="00FB7887">
        <w:rPr>
          <w:rFonts w:ascii="IRBadr" w:hAnsi="IRBadr" w:cs="IRBadr"/>
          <w:sz w:val="28"/>
          <w:szCs w:val="28"/>
          <w:rtl/>
          <w:lang w:bidi="fa-IR"/>
        </w:rPr>
        <w:t xml:space="preserve"> در جای خودش که 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می‌گفتند </w:t>
      </w:r>
      <w:r w:rsidR="00E216F2" w:rsidRPr="00FB7887">
        <w:rPr>
          <w:rFonts w:ascii="IRBadr" w:hAnsi="IRBadr" w:cs="IRBadr"/>
          <w:sz w:val="28"/>
          <w:szCs w:val="28"/>
          <w:rtl/>
          <w:lang w:bidi="fa-IR"/>
        </w:rPr>
        <w:t xml:space="preserve">توافق و انطباق شهادت‌ها  شرط است. والا وقتی شهادت‌ها </w:t>
      </w:r>
      <w:r w:rsidR="00C675F2" w:rsidRPr="00FB7887">
        <w:rPr>
          <w:rFonts w:ascii="IRBadr" w:hAnsi="IRBadr" w:cs="IRBadr"/>
          <w:sz w:val="28"/>
          <w:szCs w:val="28"/>
          <w:rtl/>
          <w:lang w:bidi="fa-IR"/>
        </w:rPr>
        <w:t>باهم</w:t>
      </w:r>
      <w:r w:rsidR="00E216F2" w:rsidRPr="00FB7887">
        <w:rPr>
          <w:rFonts w:ascii="IRBadr" w:hAnsi="IRBadr" w:cs="IRBadr"/>
          <w:sz w:val="28"/>
          <w:szCs w:val="28"/>
          <w:rtl/>
          <w:lang w:bidi="fa-IR"/>
        </w:rPr>
        <w:t xml:space="preserve"> مخالف باشد، ساقط می‌شود. </w:t>
      </w:r>
    </w:p>
    <w:p w:rsidR="00192543" w:rsidRPr="00FB7887" w:rsidRDefault="00192543" w:rsidP="00EA6546">
      <w:pPr>
        <w:pStyle w:val="Heading4"/>
        <w:ind w:firstLine="0"/>
        <w:rPr>
          <w:rFonts w:ascii="IRBadr" w:hAnsi="IRBadr" w:cs="IRBadr"/>
          <w:rtl/>
        </w:rPr>
      </w:pPr>
      <w:bookmarkStart w:id="16" w:name="_Toc427882610"/>
      <w:r w:rsidRPr="00FB7887">
        <w:rPr>
          <w:rFonts w:ascii="IRBadr" w:hAnsi="IRBadr" w:cs="IRBadr"/>
          <w:rtl/>
        </w:rPr>
        <w:t>حد خمر</w:t>
      </w:r>
      <w:bookmarkEnd w:id="16"/>
    </w:p>
    <w:p w:rsidR="00192543" w:rsidRPr="00FB7887" w:rsidRDefault="00E216F2" w:rsidP="00EA654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مسئله نهم </w:t>
      </w:r>
      <w:r w:rsidR="00192543" w:rsidRPr="00FB7887">
        <w:rPr>
          <w:rFonts w:ascii="IRBadr" w:hAnsi="IRBadr" w:cs="IRBadr"/>
          <w:sz w:val="28"/>
          <w:szCs w:val="28"/>
          <w:rtl/>
          <w:lang w:bidi="fa-IR"/>
        </w:rPr>
        <w:t>این است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192543" w:rsidRPr="00FB7887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310635" w:rsidRPr="00FB7887" w:rsidRDefault="00EE183D" w:rsidP="00EA654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</w:pPr>
      <w:r w:rsidRPr="00FB788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</w:t>
      </w:r>
      <w:r w:rsidR="00310635" w:rsidRPr="00FB788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الحد في الشرب ثمانون</w:t>
      </w:r>
      <w:r w:rsidR="00310635" w:rsidRPr="00FB788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310635" w:rsidRPr="00FB788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جلدة كان الشارب رجلا أو امر</w:t>
      </w:r>
      <w:r w:rsidRPr="00FB788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أة و الكافر إذا تظاهر بشربه يحد»</w:t>
      </w:r>
      <w:r w:rsidR="00310635" w:rsidRPr="00FB788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B7887">
        <w:rPr>
          <w:rStyle w:val="FootnoteReference"/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footnoteReference w:id="4"/>
      </w:r>
    </w:p>
    <w:p w:rsidR="00192543" w:rsidRPr="00FB7887" w:rsidRDefault="00192543" w:rsidP="00EA654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چند شلاق حد شرب خمر است؟</w:t>
      </w:r>
      <w:r w:rsidR="00E216F2" w:rsidRPr="00FB7887">
        <w:rPr>
          <w:rFonts w:ascii="IRBadr" w:hAnsi="IRBadr" w:cs="IRBadr"/>
          <w:sz w:val="28"/>
          <w:szCs w:val="28"/>
          <w:rtl/>
          <w:lang w:bidi="fa-IR"/>
        </w:rPr>
        <w:t xml:space="preserve"> ایشان می‌فرمایند حد در شرب خمر هشتاد 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>ضربه</w:t>
      </w:r>
      <w:r w:rsidR="00E216F2" w:rsidRPr="00FB7887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216F2" w:rsidRPr="00FB7887">
        <w:rPr>
          <w:rFonts w:ascii="IRBadr" w:hAnsi="IRBadr" w:cs="IRBadr"/>
          <w:sz w:val="28"/>
          <w:szCs w:val="28"/>
          <w:rtl/>
          <w:lang w:bidi="fa-IR"/>
        </w:rPr>
        <w:t xml:space="preserve">این امری است که در آن هیچ اختلافی بین فقها نیست و روایاتی که اینجا در این باب </w:t>
      </w:r>
      <w:r w:rsidR="00C675F2" w:rsidRPr="00FB7887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="00E216F2" w:rsidRPr="00FB7887">
        <w:rPr>
          <w:rFonts w:ascii="IRBadr" w:hAnsi="IRBadr" w:cs="IRBadr"/>
          <w:sz w:val="28"/>
          <w:szCs w:val="28"/>
          <w:rtl/>
          <w:lang w:bidi="fa-IR"/>
        </w:rPr>
        <w:t xml:space="preserve"> است، در دو باب از این ابواب است.</w:t>
      </w:r>
    </w:p>
    <w:p w:rsidR="00192543" w:rsidRPr="00FB7887" w:rsidRDefault="00192543" w:rsidP="00EA6546">
      <w:pPr>
        <w:pStyle w:val="Heading4"/>
        <w:ind w:firstLine="0"/>
        <w:rPr>
          <w:rFonts w:ascii="IRBadr" w:hAnsi="IRBadr" w:cs="IRBadr"/>
          <w:rtl/>
        </w:rPr>
      </w:pPr>
      <w:bookmarkStart w:id="17" w:name="_Toc427882611"/>
      <w:r w:rsidRPr="00FB7887">
        <w:rPr>
          <w:rFonts w:ascii="IRBadr" w:hAnsi="IRBadr" w:cs="IRBadr"/>
          <w:rtl/>
        </w:rPr>
        <w:t>مستندات بحث</w:t>
      </w:r>
      <w:bookmarkEnd w:id="17"/>
    </w:p>
    <w:p w:rsidR="00192543" w:rsidRPr="00FB7887" w:rsidRDefault="00192543" w:rsidP="00EA654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B7887">
        <w:rPr>
          <w:rFonts w:ascii="IRBadr" w:hAnsi="IRBadr" w:cs="IRBadr"/>
          <w:sz w:val="28"/>
          <w:szCs w:val="28"/>
          <w:rtl/>
          <w:lang w:bidi="fa-IR"/>
        </w:rPr>
        <w:t>برخی</w:t>
      </w:r>
      <w:r w:rsidR="00E216F2" w:rsidRPr="00FB788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>در</w:t>
      </w:r>
      <w:r w:rsidR="00E216F2" w:rsidRPr="00FB7887">
        <w:rPr>
          <w:rFonts w:ascii="IRBadr" w:hAnsi="IRBadr" w:cs="IRBadr"/>
          <w:sz w:val="28"/>
          <w:szCs w:val="28"/>
          <w:rtl/>
          <w:lang w:bidi="fa-IR"/>
        </w:rPr>
        <w:t xml:space="preserve"> جلد هیجده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>،</w:t>
      </w:r>
      <w:r w:rsidR="00E216F2" w:rsidRPr="00FB7887">
        <w:rPr>
          <w:rFonts w:ascii="IRBadr" w:hAnsi="IRBadr" w:cs="IRBadr"/>
          <w:sz w:val="28"/>
          <w:szCs w:val="28"/>
          <w:rtl/>
          <w:lang w:bidi="fa-IR"/>
        </w:rPr>
        <w:t xml:space="preserve"> ابواب حد مسکر، باب سه، و یکی هم باب شش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است. روایاتی در این باب است</w:t>
      </w:r>
      <w:r w:rsidR="00E216F2" w:rsidRPr="00FB7887">
        <w:rPr>
          <w:rFonts w:ascii="IRBadr" w:hAnsi="IRBadr" w:cs="IRBadr"/>
          <w:sz w:val="28"/>
          <w:szCs w:val="28"/>
          <w:rtl/>
          <w:lang w:bidi="fa-IR"/>
        </w:rPr>
        <w:t xml:space="preserve"> که به هشتاد 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>ضربه دلالت می‌کند</w:t>
      </w:r>
      <w:r w:rsidR="00E216F2" w:rsidRPr="00FB7887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3C695D" w:rsidRPr="00FB7887" w:rsidRDefault="00E216F2" w:rsidP="00EA654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بعضی روایات را در این زمینه می‌خوانم. </w:t>
      </w:r>
      <w:r w:rsidR="003C695D" w:rsidRPr="00FB7887">
        <w:rPr>
          <w:rFonts w:ascii="IRBadr" w:hAnsi="IRBadr" w:cs="IRBadr"/>
          <w:sz w:val="28"/>
          <w:szCs w:val="28"/>
          <w:rtl/>
          <w:lang w:bidi="fa-IR"/>
        </w:rPr>
        <w:t>مواردی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که گفته هشتاد</w:t>
      </w:r>
      <w:r w:rsidR="003C695D" w:rsidRPr="00FB7887">
        <w:rPr>
          <w:rFonts w:ascii="IRBadr" w:hAnsi="IRBadr" w:cs="IRBadr"/>
          <w:sz w:val="28"/>
          <w:szCs w:val="28"/>
          <w:rtl/>
          <w:lang w:bidi="fa-IR"/>
        </w:rPr>
        <w:t xml:space="preserve"> ضربه روایات زیادی است. </w:t>
      </w:r>
    </w:p>
    <w:p w:rsidR="003C695D" w:rsidRPr="00FB7887" w:rsidRDefault="003C695D" w:rsidP="00EA6546">
      <w:pPr>
        <w:pStyle w:val="Heading4"/>
        <w:ind w:firstLine="0"/>
        <w:rPr>
          <w:rFonts w:ascii="IRBadr" w:hAnsi="IRBadr" w:cs="IRBadr"/>
          <w:rtl/>
        </w:rPr>
      </w:pPr>
      <w:bookmarkStart w:id="18" w:name="_Toc427882612"/>
      <w:r w:rsidRPr="00FB7887">
        <w:rPr>
          <w:rFonts w:ascii="IRBadr" w:hAnsi="IRBadr" w:cs="IRBadr"/>
          <w:rtl/>
        </w:rPr>
        <w:lastRenderedPageBreak/>
        <w:t>روایت اول</w:t>
      </w:r>
      <w:bookmarkEnd w:id="18"/>
    </w:p>
    <w:p w:rsidR="003C695D" w:rsidRPr="00FB7887" w:rsidRDefault="003C695D" w:rsidP="00EA654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B7887">
        <w:rPr>
          <w:rFonts w:ascii="IRBadr" w:hAnsi="IRBadr" w:cs="IRBadr"/>
          <w:sz w:val="28"/>
          <w:szCs w:val="28"/>
          <w:rtl/>
          <w:lang w:bidi="fa-IR"/>
        </w:rPr>
        <w:t>یک</w:t>
      </w:r>
      <w:r w:rsidR="00E216F2" w:rsidRPr="00FB7887">
        <w:rPr>
          <w:rFonts w:ascii="IRBadr" w:hAnsi="IRBadr" w:cs="IRBadr"/>
          <w:sz w:val="28"/>
          <w:szCs w:val="28"/>
          <w:rtl/>
          <w:lang w:bidi="fa-IR"/>
        </w:rPr>
        <w:t xml:space="preserve"> روایت باب س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>ه از ابواب حد مسکر حدیث اول ،</w:t>
      </w:r>
      <w:r w:rsidR="00E216F2" w:rsidRPr="00FB7887">
        <w:rPr>
          <w:rFonts w:ascii="IRBadr" w:hAnsi="IRBadr" w:cs="IRBadr"/>
          <w:sz w:val="28"/>
          <w:szCs w:val="28"/>
          <w:rtl/>
          <w:lang w:bidi="fa-IR"/>
        </w:rPr>
        <w:t xml:space="preserve"> صفحه چهارصد و </w:t>
      </w:r>
      <w:r w:rsidR="00C675F2" w:rsidRPr="00FB7887">
        <w:rPr>
          <w:rFonts w:ascii="IRBadr" w:hAnsi="IRBadr" w:cs="IRBadr"/>
          <w:sz w:val="28"/>
          <w:szCs w:val="28"/>
          <w:rtl/>
          <w:lang w:bidi="fa-IR"/>
        </w:rPr>
        <w:t>شصت‌وشش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است </w:t>
      </w:r>
      <w:r w:rsidR="00E216F2" w:rsidRPr="00FB7887">
        <w:rPr>
          <w:rFonts w:ascii="IRBadr" w:hAnsi="IRBadr" w:cs="IRBadr"/>
          <w:sz w:val="28"/>
          <w:szCs w:val="28"/>
          <w:rtl/>
          <w:lang w:bidi="fa-IR"/>
        </w:rPr>
        <w:t xml:space="preserve">که 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EE183D" w:rsidRPr="00FB7887" w:rsidRDefault="00EE183D" w:rsidP="00EA654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</w:pPr>
      <w:r w:rsidRPr="00FB788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«عَلِيُّ بْنُ إِبْرَاهِيمَ عَنْ مُحَمَّدِ بْنِ عِيسَى عَنْ يُونُسَ عَنْ أَبِي بَصِيرٍ عَنْ أَبِي عَبْدِ اللَّهِ ع قَالَ:</w:t>
      </w:r>
      <w:r w:rsidRPr="00FB788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Pr="00FB788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قُلْتُ لَهُ كَيْفَ كَانَ يَجْلِدُ </w:t>
      </w:r>
      <w:r w:rsidR="00FB788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رسول‌الله</w:t>
      </w:r>
      <w:r w:rsidRPr="00FB788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ص قَالَ فَقَالَ كَانَ يَضْرِبُ بِالنِّعَالِ وَ يَزِيدُ كُلَّمَا أُتِيَ بِالشَّارِبِ ثُمَّ لَمْ يَزَلِ النَّاسُ يَزِيدُونَ حَتَّى وَقَفَ عَلَى ثَمَانِينَ</w:t>
      </w:r>
      <w:r w:rsidRPr="00FB788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Pr="00FB788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أَشَارَ بِذَلِكَ عَلِيٌّ</w:t>
      </w:r>
      <w:r w:rsidRPr="00FB788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Pr="00FB788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ع عَلَى عُمَرَ فَرَضِيَ بِهَا</w:t>
      </w:r>
      <w:r w:rsidRPr="00FB788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>.</w:t>
      </w:r>
      <w:r w:rsidRPr="00FB788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» </w:t>
      </w:r>
      <w:r w:rsidRPr="00FB7887">
        <w:rPr>
          <w:rStyle w:val="FootnoteReference"/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footnoteReference w:id="5"/>
      </w:r>
    </w:p>
    <w:p w:rsidR="00EE183D" w:rsidRPr="00FB7887" w:rsidRDefault="00EE183D" w:rsidP="00EA654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Badr" w:eastAsia="Times New Roman" w:hAnsi="IRBadr" w:cs="IRBadr"/>
          <w:color w:val="000000"/>
          <w:sz w:val="2"/>
          <w:szCs w:val="2"/>
          <w:lang w:bidi="fa-IR"/>
        </w:rPr>
      </w:pPr>
    </w:p>
    <w:p w:rsidR="003C695D" w:rsidRPr="00FB7887" w:rsidRDefault="00E216F2" w:rsidP="00EA654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C695D" w:rsidRPr="00FB7887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سند این همان محمد بن عیسی عن یونس است که ما معتبر نمی‌دانیم، به دلیل خاصی که گفتیم. </w:t>
      </w:r>
      <w:r w:rsidR="003C695D" w:rsidRPr="00FB7887">
        <w:rPr>
          <w:rFonts w:ascii="IRBadr" w:hAnsi="IRBadr" w:cs="IRBadr"/>
          <w:sz w:val="28"/>
          <w:szCs w:val="28"/>
          <w:rtl/>
          <w:lang w:bidi="fa-IR"/>
        </w:rPr>
        <w:t xml:space="preserve">راوی سؤال کرد </w:t>
      </w:r>
      <w:r w:rsidR="00FB7887">
        <w:rPr>
          <w:rFonts w:ascii="IRBadr" w:hAnsi="IRBadr" w:cs="IRBadr"/>
          <w:sz w:val="28"/>
          <w:szCs w:val="28"/>
          <w:rtl/>
          <w:lang w:bidi="fa-IR"/>
        </w:rPr>
        <w:t>رسول‌الله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B7887">
        <w:rPr>
          <w:rFonts w:ascii="IRBadr" w:hAnsi="IRBadr" w:cs="IRBadr"/>
          <w:sz w:val="28"/>
          <w:szCs w:val="28"/>
          <w:rtl/>
          <w:lang w:bidi="fa-IR"/>
        </w:rPr>
        <w:t>صلی‌الله</w:t>
      </w:r>
      <w:r w:rsidR="003C695D" w:rsidRPr="00FB7887">
        <w:rPr>
          <w:rFonts w:ascii="IRBadr" w:hAnsi="IRBadr" w:cs="IRBadr"/>
          <w:sz w:val="28"/>
          <w:szCs w:val="28"/>
          <w:rtl/>
          <w:lang w:bidi="fa-IR"/>
        </w:rPr>
        <w:t xml:space="preserve"> علیه و آله و سلم چطور 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>جلد می‌کردند؟ امام صادق فرمودند: با کفش به آن شخص شارب خمر می‌زدند.</w:t>
      </w:r>
    </w:p>
    <w:p w:rsidR="003C695D" w:rsidRPr="00FB7887" w:rsidRDefault="003C695D" w:rsidP="00EA654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B7887">
        <w:rPr>
          <w:rFonts w:ascii="IRBadr" w:hAnsi="IRBadr" w:cs="IRBadr"/>
          <w:sz w:val="28"/>
          <w:szCs w:val="28"/>
          <w:rtl/>
          <w:lang w:bidi="fa-IR"/>
        </w:rPr>
        <w:t>روایت دوم</w:t>
      </w:r>
      <w:r w:rsidR="00EE183D" w:rsidRPr="00FB7887">
        <w:rPr>
          <w:rFonts w:ascii="IRBadr" w:hAnsi="IRBadr" w:cs="IRBadr"/>
          <w:sz w:val="28"/>
          <w:szCs w:val="28"/>
          <w:rtl/>
          <w:lang w:bidi="fa-IR"/>
        </w:rPr>
        <w:t>ی نیز در این زمینه وجود دارد</w:t>
      </w:r>
      <w:r w:rsidRPr="00FB7887">
        <w:rPr>
          <w:rFonts w:ascii="IRBadr" w:hAnsi="IRBadr" w:cs="IRBadr"/>
          <w:sz w:val="28"/>
          <w:szCs w:val="28"/>
          <w:rtl/>
          <w:lang w:bidi="fa-IR"/>
        </w:rPr>
        <w:t xml:space="preserve"> که سند بسیار معتبری دارد</w:t>
      </w:r>
      <w:r w:rsidR="00EE183D" w:rsidRPr="00FB7887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152670" w:rsidRPr="00FB7887" w:rsidRDefault="00152670" w:rsidP="00EA6546">
      <w:pPr>
        <w:bidi/>
        <w:jc w:val="both"/>
        <w:rPr>
          <w:rFonts w:ascii="IRBadr" w:hAnsi="IRBadr" w:cs="IRBadr"/>
          <w:lang w:bidi="fa-IR"/>
        </w:rPr>
      </w:pPr>
    </w:p>
    <w:sectPr w:rsidR="00152670" w:rsidRPr="00FB7887" w:rsidSect="00D7419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57" w:rsidRDefault="00F54557" w:rsidP="00BC61B1">
      <w:pPr>
        <w:spacing w:after="0" w:line="240" w:lineRule="auto"/>
      </w:pPr>
      <w:r>
        <w:separator/>
      </w:r>
    </w:p>
  </w:endnote>
  <w:endnote w:type="continuationSeparator" w:id="0">
    <w:p w:rsidR="00F54557" w:rsidRDefault="00F54557" w:rsidP="00BC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Titr"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062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6546" w:rsidRDefault="00EA65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88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A6546" w:rsidRDefault="00EA6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57" w:rsidRDefault="00F54557" w:rsidP="00EA6546">
      <w:pPr>
        <w:bidi/>
        <w:spacing w:after="0" w:line="240" w:lineRule="auto"/>
      </w:pPr>
      <w:r>
        <w:separator/>
      </w:r>
    </w:p>
  </w:footnote>
  <w:footnote w:type="continuationSeparator" w:id="0">
    <w:p w:rsidR="00F54557" w:rsidRDefault="00F54557" w:rsidP="00BC61B1">
      <w:pPr>
        <w:spacing w:after="0" w:line="240" w:lineRule="auto"/>
      </w:pPr>
      <w:r>
        <w:continuationSeparator/>
      </w:r>
    </w:p>
  </w:footnote>
  <w:footnote w:id="1">
    <w:p w:rsidR="00310635" w:rsidRDefault="0031063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10635">
        <w:rPr>
          <w:rFonts w:ascii="Noor_Titr" w:hAnsi="Noor_Titr" w:cs="B Badr"/>
          <w:color w:val="000000" w:themeColor="text1"/>
          <w:rtl/>
        </w:rPr>
        <w:t>تحرير الوسيلة؛ ج‌2، ص: 479</w:t>
      </w:r>
    </w:p>
  </w:footnote>
  <w:footnote w:id="2">
    <w:p w:rsidR="00310635" w:rsidRDefault="00310635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10635">
        <w:rPr>
          <w:rFonts w:ascii="Noor_Titr" w:hAnsi="Noor_Titr" w:cs="B Badr"/>
          <w:color w:val="000000" w:themeColor="text1"/>
          <w:rtl/>
        </w:rPr>
        <w:t>مسالك الأفهام إلى تنقيح شرائع الإسلام؛ ج‌7، ص: 180</w:t>
      </w:r>
    </w:p>
  </w:footnote>
  <w:footnote w:id="3">
    <w:p w:rsidR="00310635" w:rsidRDefault="00310635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10635">
        <w:rPr>
          <w:rFonts w:ascii="Noor_Titr" w:hAnsi="Noor_Titr" w:cs="B Badr"/>
          <w:color w:val="000000" w:themeColor="text1"/>
          <w:rtl/>
        </w:rPr>
        <w:t>الكافي (ط - الإسلامية)؛ ج‌7، ص: 415</w:t>
      </w:r>
    </w:p>
  </w:footnote>
  <w:footnote w:id="4">
    <w:p w:rsidR="00EE183D" w:rsidRDefault="00EE183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EE183D">
        <w:rPr>
          <w:rFonts w:ascii="Noor_Titr" w:hAnsi="Noor_Titr" w:cs="B Badr"/>
          <w:color w:val="000000" w:themeColor="text1"/>
          <w:rtl/>
        </w:rPr>
        <w:t>تحرير الوسيلة؛ ج‌2، ص: 480</w:t>
      </w:r>
    </w:p>
  </w:footnote>
  <w:footnote w:id="5">
    <w:p w:rsidR="00EE183D" w:rsidRDefault="00EE183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EE183D">
        <w:rPr>
          <w:rFonts w:ascii="Noor_Titr" w:hAnsi="Noor_Titr" w:cs="B Badr"/>
          <w:color w:val="000000" w:themeColor="text1"/>
          <w:rtl/>
        </w:rPr>
        <w:t>الكافي (ط - الإسلامية)؛ ج‌7، ص: 214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B1" w:rsidRPr="00BC61B1" w:rsidRDefault="00BC61B1" w:rsidP="00BC61B1">
    <w:pPr>
      <w:tabs>
        <w:tab w:val="left" w:pos="1256"/>
        <w:tab w:val="left" w:pos="5696"/>
        <w:tab w:val="right" w:pos="9071"/>
      </w:tabs>
      <w:bidi/>
      <w:spacing w:line="240" w:lineRule="auto"/>
      <w:rPr>
        <w:b/>
        <w:bCs/>
        <w:sz w:val="32"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6DF5BD1" wp14:editId="41D2078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8D57822" id="Straight Connector 2" o:spid="_x0000_s1026" style="position:absolute;left:0;text-align:left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9" w:name="OLE_LINK1"/>
    <w:bookmarkStart w:id="20" w:name="OLE_LINK2"/>
    <w:r>
      <w:rPr>
        <w:noProof/>
        <w:lang w:bidi="fa-IR"/>
      </w:rPr>
      <w:drawing>
        <wp:inline distT="0" distB="0" distL="0" distR="0" wp14:anchorId="31771B56" wp14:editId="4160778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9"/>
    <w:bookmarkEnd w:id="20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850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F2"/>
    <w:rsid w:val="000324F1"/>
    <w:rsid w:val="00044F13"/>
    <w:rsid w:val="00052BA3"/>
    <w:rsid w:val="0006363E"/>
    <w:rsid w:val="00080DFF"/>
    <w:rsid w:val="00085ED5"/>
    <w:rsid w:val="000A1A51"/>
    <w:rsid w:val="000D2D0D"/>
    <w:rsid w:val="000F1897"/>
    <w:rsid w:val="000F7E72"/>
    <w:rsid w:val="00101E2D"/>
    <w:rsid w:val="00102CEB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543"/>
    <w:rsid w:val="00192A6A"/>
    <w:rsid w:val="00197CDD"/>
    <w:rsid w:val="001C367D"/>
    <w:rsid w:val="001D24F8"/>
    <w:rsid w:val="001E306E"/>
    <w:rsid w:val="001E3FB0"/>
    <w:rsid w:val="001E4FFF"/>
    <w:rsid w:val="001F2E3E"/>
    <w:rsid w:val="0020457C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10635"/>
    <w:rsid w:val="00340BA3"/>
    <w:rsid w:val="00366400"/>
    <w:rsid w:val="00396F28"/>
    <w:rsid w:val="003A1A05"/>
    <w:rsid w:val="003A2654"/>
    <w:rsid w:val="003C695D"/>
    <w:rsid w:val="003C7899"/>
    <w:rsid w:val="003D2F0A"/>
    <w:rsid w:val="003D563F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9696C"/>
    <w:rsid w:val="006A085A"/>
    <w:rsid w:val="006D3A87"/>
    <w:rsid w:val="006F01B4"/>
    <w:rsid w:val="00707798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613AC"/>
    <w:rsid w:val="00980643"/>
    <w:rsid w:val="009925F7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93C02"/>
    <w:rsid w:val="00BB5F7E"/>
    <w:rsid w:val="00BC61B1"/>
    <w:rsid w:val="00BD3122"/>
    <w:rsid w:val="00BD40DA"/>
    <w:rsid w:val="00C160AF"/>
    <w:rsid w:val="00C22299"/>
    <w:rsid w:val="00C25609"/>
    <w:rsid w:val="00C26607"/>
    <w:rsid w:val="00C60D75"/>
    <w:rsid w:val="00C64CEA"/>
    <w:rsid w:val="00C675F2"/>
    <w:rsid w:val="00C73012"/>
    <w:rsid w:val="00C763DD"/>
    <w:rsid w:val="00C84FC0"/>
    <w:rsid w:val="00C9244A"/>
    <w:rsid w:val="00CB5DA3"/>
    <w:rsid w:val="00CD026D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419B"/>
    <w:rsid w:val="00DB28BB"/>
    <w:rsid w:val="00DC603F"/>
    <w:rsid w:val="00DD3C0D"/>
    <w:rsid w:val="00DD4864"/>
    <w:rsid w:val="00DD71A2"/>
    <w:rsid w:val="00E00DC7"/>
    <w:rsid w:val="00E0639C"/>
    <w:rsid w:val="00E067E6"/>
    <w:rsid w:val="00E12531"/>
    <w:rsid w:val="00E143B0"/>
    <w:rsid w:val="00E216F2"/>
    <w:rsid w:val="00E55891"/>
    <w:rsid w:val="00E6283A"/>
    <w:rsid w:val="00E732A3"/>
    <w:rsid w:val="00E83A85"/>
    <w:rsid w:val="00E90FC4"/>
    <w:rsid w:val="00EA01EC"/>
    <w:rsid w:val="00EA15B0"/>
    <w:rsid w:val="00EA5D97"/>
    <w:rsid w:val="00EA6546"/>
    <w:rsid w:val="00EC4393"/>
    <w:rsid w:val="00ED6B15"/>
    <w:rsid w:val="00EE183D"/>
    <w:rsid w:val="00EE1C07"/>
    <w:rsid w:val="00EE2C91"/>
    <w:rsid w:val="00EE3979"/>
    <w:rsid w:val="00EF138C"/>
    <w:rsid w:val="00F034CE"/>
    <w:rsid w:val="00F10A0F"/>
    <w:rsid w:val="00F24DD6"/>
    <w:rsid w:val="00F40284"/>
    <w:rsid w:val="00F54557"/>
    <w:rsid w:val="00F63661"/>
    <w:rsid w:val="00F67976"/>
    <w:rsid w:val="00F70BE1"/>
    <w:rsid w:val="00FB7887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E216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table" w:styleId="TableGrid">
    <w:name w:val="Table Grid"/>
    <w:basedOn w:val="TableNormal"/>
    <w:uiPriority w:val="59"/>
    <w:rsid w:val="00E216F2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6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1B1"/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C6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1B1"/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B1"/>
    <w:rPr>
      <w:rFonts w:ascii="Tahoma" w:eastAsiaTheme="minorHAnsi" w:hAnsi="Tahoma" w:cs="Tahoma"/>
      <w:sz w:val="16"/>
      <w:szCs w:val="16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1063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A65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E216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table" w:styleId="TableGrid">
    <w:name w:val="Table Grid"/>
    <w:basedOn w:val="TableNormal"/>
    <w:uiPriority w:val="59"/>
    <w:rsid w:val="00E216F2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6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1B1"/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C6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1B1"/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B1"/>
    <w:rPr>
      <w:rFonts w:ascii="Tahoma" w:eastAsiaTheme="minorHAnsi" w:hAnsi="Tahoma" w:cs="Tahoma"/>
      <w:sz w:val="16"/>
      <w:szCs w:val="16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1063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A6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043D9-4F0C-42BD-8CB3-14AA66F8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اکبریان</cp:lastModifiedBy>
  <cp:revision>13</cp:revision>
  <dcterms:created xsi:type="dcterms:W3CDTF">2014-11-17T10:20:00Z</dcterms:created>
  <dcterms:modified xsi:type="dcterms:W3CDTF">2015-08-10T10:23:00Z</dcterms:modified>
</cp:coreProperties>
</file>