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24" w:rsidRDefault="003500FA" w:rsidP="00473924">
      <w:pPr>
        <w:bidi/>
        <w:spacing w:line="360" w:lineRule="auto"/>
        <w:jc w:val="both"/>
        <w:rPr>
          <w:noProof/>
        </w:rPr>
      </w:pPr>
      <w:r w:rsidRPr="00473924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  <w:r w:rsidR="00473924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473924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473924">
        <w:rPr>
          <w:rFonts w:ascii="IRBadr" w:hAnsi="IRBadr" w:cs="IRBadr"/>
          <w:sz w:val="28"/>
          <w:szCs w:val="28"/>
          <w:lang w:bidi="fa-IR"/>
        </w:rPr>
        <w:instrText>TOC</w:instrText>
      </w:r>
      <w:r w:rsidR="00473924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473924">
        <w:rPr>
          <w:rFonts w:ascii="IRBadr" w:hAnsi="IRBadr" w:cs="IRBadr"/>
          <w:sz w:val="28"/>
          <w:szCs w:val="28"/>
          <w:lang w:bidi="fa-IR"/>
        </w:rPr>
        <w:instrText>o "1-8" \h \z \u</w:instrText>
      </w:r>
      <w:r w:rsidR="00473924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473924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473924" w:rsidRDefault="00473924" w:rsidP="00473924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834" w:history="1">
        <w:r w:rsidRPr="002C07D3">
          <w:rPr>
            <w:rStyle w:val="Hyperlink"/>
            <w:rFonts w:ascii="IRBadr" w:hAnsi="IRBadr" w:cs="IRBadr" w:hint="eastAsia"/>
            <w:noProof/>
            <w:rtl/>
          </w:rPr>
          <w:t>حد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مسکر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73924" w:rsidRDefault="00473924" w:rsidP="00473924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835" w:history="1">
        <w:r w:rsidRPr="002C07D3">
          <w:rPr>
            <w:rStyle w:val="Hyperlink"/>
            <w:rFonts w:ascii="IRBadr" w:hAnsi="IRBadr" w:cs="IRBadr" w:hint="eastAsia"/>
            <w:noProof/>
            <w:rtl/>
          </w:rPr>
          <w:t>مرور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سابق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73924" w:rsidRDefault="00473924" w:rsidP="00473924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836" w:history="1">
        <w:r w:rsidRPr="002C07D3">
          <w:rPr>
            <w:rStyle w:val="Hyperlink"/>
            <w:rFonts w:ascii="IRBadr" w:hAnsi="IRBadr" w:cs="IRBadr" w:hint="eastAsia"/>
            <w:noProof/>
            <w:rtl/>
          </w:rPr>
          <w:t>مرور</w:t>
        </w:r>
        <w:r w:rsidRPr="002C07D3">
          <w:rPr>
            <w:rStyle w:val="Hyperlink"/>
            <w:rFonts w:ascii="IRBadr" w:hAnsi="IRBadr" w:cs="IRBadr" w:hint="cs"/>
            <w:noProof/>
            <w:rtl/>
          </w:rPr>
          <w:t>ی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بر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اقوال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در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ا</w:t>
        </w:r>
        <w:r w:rsidRPr="002C07D3">
          <w:rPr>
            <w:rStyle w:val="Hyperlink"/>
            <w:rFonts w:ascii="IRBadr" w:hAnsi="IRBadr" w:cs="IRBadr" w:hint="cs"/>
            <w:noProof/>
            <w:rtl/>
          </w:rPr>
          <w:t>ی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ن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مقام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73924" w:rsidRDefault="00473924" w:rsidP="00473924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837" w:history="1">
        <w:r w:rsidRPr="002C07D3">
          <w:rPr>
            <w:rStyle w:val="Hyperlink"/>
            <w:rFonts w:ascii="IRBadr" w:hAnsi="IRBadr" w:cs="IRBadr" w:hint="eastAsia"/>
            <w:noProof/>
            <w:rtl/>
          </w:rPr>
          <w:t>مستند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سوم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و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چهارم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73924" w:rsidRDefault="00473924" w:rsidP="00473924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838" w:history="1">
        <w:r w:rsidRPr="002C07D3">
          <w:rPr>
            <w:rStyle w:val="Hyperlink"/>
            <w:rFonts w:ascii="IRBadr" w:hAnsi="IRBadr" w:cs="IRBadr" w:hint="eastAsia"/>
            <w:noProof/>
            <w:rtl/>
          </w:rPr>
          <w:t>اصل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عمل</w:t>
        </w:r>
        <w:r w:rsidRPr="002C07D3">
          <w:rPr>
            <w:rStyle w:val="Hyperlink"/>
            <w:rFonts w:ascii="IRBadr" w:hAnsi="IRBadr" w:cs="IRBadr" w:hint="cs"/>
            <w:noProof/>
            <w:rtl/>
          </w:rPr>
          <w:t>ی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در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ا</w:t>
        </w:r>
        <w:r w:rsidRPr="002C07D3">
          <w:rPr>
            <w:rStyle w:val="Hyperlink"/>
            <w:rFonts w:ascii="IRBadr" w:hAnsi="IRBadr" w:cs="IRBadr" w:hint="cs"/>
            <w:noProof/>
            <w:rtl/>
          </w:rPr>
          <w:t>ی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ن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مقام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73924" w:rsidRDefault="00473924" w:rsidP="00473924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839" w:history="1">
        <w:r w:rsidRPr="002C07D3">
          <w:rPr>
            <w:rStyle w:val="Hyperlink"/>
            <w:rFonts w:ascii="IRBadr" w:hAnsi="IRBadr" w:cs="IRBadr" w:hint="eastAsia"/>
            <w:noProof/>
            <w:rtl/>
          </w:rPr>
          <w:t>استصحاب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و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برائت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در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ا</w:t>
        </w:r>
        <w:r w:rsidRPr="002C07D3">
          <w:rPr>
            <w:rStyle w:val="Hyperlink"/>
            <w:rFonts w:ascii="IRBadr" w:hAnsi="IRBadr" w:cs="IRBadr" w:hint="cs"/>
            <w:noProof/>
            <w:rtl/>
          </w:rPr>
          <w:t>ی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ن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باب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73924" w:rsidRDefault="00473924" w:rsidP="0047392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609840" w:history="1">
        <w:r w:rsidRPr="002C07D3">
          <w:rPr>
            <w:rStyle w:val="Hyperlink"/>
            <w:rFonts w:ascii="IRBadr" w:hAnsi="IRBadr" w:cs="IRBadr" w:hint="eastAsia"/>
            <w:noProof/>
            <w:rtl/>
          </w:rPr>
          <w:t>مستند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قول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73924" w:rsidRDefault="00473924" w:rsidP="0047392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609841" w:history="1">
        <w:r w:rsidRPr="002C07D3">
          <w:rPr>
            <w:rStyle w:val="Hyperlink"/>
            <w:rFonts w:ascii="IRBadr" w:hAnsi="IRBadr" w:cs="IRBadr" w:hint="eastAsia"/>
            <w:noProof/>
            <w:rtl/>
          </w:rPr>
          <w:t>بررس</w:t>
        </w:r>
        <w:r w:rsidRPr="002C07D3">
          <w:rPr>
            <w:rStyle w:val="Hyperlink"/>
            <w:rFonts w:ascii="IRBadr" w:hAnsi="IRBadr" w:cs="IRBadr" w:hint="cs"/>
            <w:noProof/>
            <w:rtl/>
          </w:rPr>
          <w:t>ی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Pr="002C07D3">
          <w:rPr>
            <w:rStyle w:val="Hyperlink"/>
            <w:rFonts w:ascii="IRBadr" w:hAnsi="IRBadr" w:cs="IRBadr" w:hint="cs"/>
            <w:noProof/>
            <w:rtl/>
          </w:rPr>
          <w:t>ی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73924" w:rsidRDefault="00473924" w:rsidP="0047392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609842" w:history="1">
        <w:r w:rsidRPr="002C07D3">
          <w:rPr>
            <w:rStyle w:val="Hyperlink"/>
            <w:rFonts w:ascii="IRBadr" w:hAnsi="IRBadr" w:cs="IRBadr" w:hint="eastAsia"/>
            <w:noProof/>
            <w:rtl/>
          </w:rPr>
          <w:t>مناقشات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در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قول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سوم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73924" w:rsidRDefault="00473924" w:rsidP="0047392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609843" w:history="1">
        <w:r w:rsidRPr="002C07D3">
          <w:rPr>
            <w:rStyle w:val="Hyperlink"/>
            <w:rFonts w:ascii="IRBadr" w:hAnsi="IRBadr" w:cs="IRBadr" w:hint="eastAsia"/>
            <w:noProof/>
            <w:rtl/>
          </w:rPr>
          <w:t>مناقشه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73924" w:rsidRDefault="00473924" w:rsidP="0047392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609844" w:history="1">
        <w:r w:rsidRPr="002C07D3">
          <w:rPr>
            <w:rStyle w:val="Hyperlink"/>
            <w:rFonts w:ascii="IRBadr" w:hAnsi="IRBadr" w:cs="IRBadr" w:hint="eastAsia"/>
            <w:noProof/>
            <w:rtl/>
          </w:rPr>
          <w:t>انواع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مشترک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لفظ</w:t>
        </w:r>
        <w:r w:rsidRPr="002C07D3">
          <w:rPr>
            <w:rStyle w:val="Hyperlink"/>
            <w:rFonts w:ascii="IRBadr" w:hAnsi="IRBadr" w:cs="IR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73924" w:rsidRDefault="00473924" w:rsidP="00473924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609845" w:history="1">
        <w:r w:rsidRPr="002C07D3">
          <w:rPr>
            <w:rStyle w:val="Hyperlink"/>
            <w:rFonts w:ascii="IRBadr" w:hAnsi="IRBadr" w:cs="IRBadr" w:hint="eastAsia"/>
            <w:noProof/>
            <w:rtl/>
          </w:rPr>
          <w:t>مسئله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ششم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: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کشف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خلاف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در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حکم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73924" w:rsidRDefault="00473924" w:rsidP="00473924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609846" w:history="1">
        <w:r w:rsidRPr="002C07D3">
          <w:rPr>
            <w:rStyle w:val="Hyperlink"/>
            <w:rFonts w:ascii="IRBadr" w:hAnsi="IRBadr" w:cs="IRBadr" w:hint="eastAsia"/>
            <w:noProof/>
            <w:rtl/>
          </w:rPr>
          <w:t>انواع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کشف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خلاف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73924" w:rsidRDefault="00473924" w:rsidP="00473924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609847" w:history="1">
        <w:r w:rsidRPr="002C07D3">
          <w:rPr>
            <w:rStyle w:val="Hyperlink"/>
            <w:rFonts w:ascii="IRBadr" w:hAnsi="IRBadr" w:cs="IRBadr" w:hint="eastAsia"/>
            <w:noProof/>
            <w:rtl/>
          </w:rPr>
          <w:t>مستند</w:t>
        </w:r>
        <w:r w:rsidRPr="002C07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2C07D3">
          <w:rPr>
            <w:rStyle w:val="Hyperlink"/>
            <w:rFonts w:ascii="IRBadr" w:hAnsi="IRBadr" w:cs="IRBadr" w:hint="eastAsia"/>
            <w:noProof/>
            <w:rtl/>
          </w:rPr>
          <w:t>حکم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73924" w:rsidRDefault="00473924" w:rsidP="0047392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  <w:bookmarkStart w:id="0" w:name="_GoBack"/>
      <w:bookmarkEnd w:id="0"/>
    </w:p>
    <w:p w:rsidR="00473924" w:rsidRDefault="00473924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437386" w:rsidRPr="00473924" w:rsidRDefault="00437386" w:rsidP="00473924">
      <w:pPr>
        <w:pStyle w:val="Heading1"/>
        <w:spacing w:line="360" w:lineRule="auto"/>
        <w:rPr>
          <w:rFonts w:ascii="IRBadr" w:hAnsi="IRBadr" w:cs="IRBadr"/>
          <w:rtl/>
        </w:rPr>
      </w:pPr>
      <w:bookmarkStart w:id="1" w:name="_Toc432609834"/>
      <w:r w:rsidRPr="00473924">
        <w:rPr>
          <w:rFonts w:ascii="IRBadr" w:hAnsi="IRBadr" w:cs="IRBadr"/>
          <w:rtl/>
        </w:rPr>
        <w:t>حد مسکر</w:t>
      </w:r>
      <w:bookmarkEnd w:id="1"/>
    </w:p>
    <w:p w:rsidR="00437386" w:rsidRPr="00473924" w:rsidRDefault="00437386" w:rsidP="00473924">
      <w:pPr>
        <w:pStyle w:val="Heading1"/>
        <w:spacing w:line="360" w:lineRule="auto"/>
        <w:rPr>
          <w:rFonts w:ascii="IRBadr" w:hAnsi="IRBadr" w:cs="IRBadr"/>
          <w:rtl/>
        </w:rPr>
      </w:pPr>
      <w:bookmarkStart w:id="2" w:name="_Toc432609835"/>
      <w:r w:rsidRPr="00473924">
        <w:rPr>
          <w:rFonts w:ascii="IRBadr" w:hAnsi="IRBadr" w:cs="IRBadr"/>
          <w:rtl/>
        </w:rPr>
        <w:t>مرور بحث سابق</w:t>
      </w:r>
      <w:bookmarkEnd w:id="2"/>
    </w:p>
    <w:p w:rsidR="00437386" w:rsidRPr="00473924" w:rsidRDefault="00C65FF7" w:rsidP="0047392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مسئله پنجم در احکام </w:t>
      </w:r>
      <w:r w:rsidR="001F1585" w:rsidRPr="00473924">
        <w:rPr>
          <w:rFonts w:ascii="IRBadr" w:hAnsi="IRBadr" w:cs="IRBadr"/>
          <w:sz w:val="28"/>
          <w:szCs w:val="28"/>
          <w:rtl/>
          <w:lang w:bidi="fa-IR"/>
        </w:rPr>
        <w:t xml:space="preserve">حد 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>مسکر این بود</w:t>
      </w:r>
      <w:r w:rsidR="00437386" w:rsidRPr="00473924">
        <w:rPr>
          <w:rFonts w:ascii="IRBadr" w:hAnsi="IRBadr" w:cs="IRBadr"/>
          <w:sz w:val="28"/>
          <w:szCs w:val="28"/>
          <w:rtl/>
          <w:lang w:bidi="fa-IR"/>
        </w:rPr>
        <w:t>،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437386" w:rsidRPr="00473924">
        <w:rPr>
          <w:rFonts w:ascii="IRBadr" w:hAnsi="IRBadr" w:cs="IRBadr"/>
          <w:sz w:val="28"/>
          <w:szCs w:val="28"/>
          <w:rtl/>
          <w:lang w:bidi="fa-IR"/>
        </w:rPr>
        <w:t xml:space="preserve"> فرضی که بدون صورت گرفتن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تعدی‌ای</w:t>
      </w:r>
      <w:r w:rsidR="00437386" w:rsidRPr="00473924">
        <w:rPr>
          <w:rFonts w:ascii="IRBadr" w:hAnsi="IRBadr" w:cs="IRBadr"/>
          <w:sz w:val="28"/>
          <w:szCs w:val="28"/>
          <w:rtl/>
          <w:lang w:bidi="fa-IR"/>
        </w:rPr>
        <w:t xml:space="preserve"> فرد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ضربه‌ای</w:t>
      </w:r>
      <w:r w:rsidR="00437386" w:rsidRPr="00473924">
        <w:rPr>
          <w:rFonts w:ascii="IRBadr" w:hAnsi="IRBadr" w:cs="IRBadr"/>
          <w:sz w:val="28"/>
          <w:szCs w:val="28"/>
          <w:rtl/>
          <w:lang w:bidi="fa-IR"/>
        </w:rPr>
        <w:t xml:space="preserve"> فراتر دیده یا حتی از دنیا رفته است،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 xml:space="preserve"> بیان</w:t>
      </w:r>
      <w:r w:rsidR="00437386" w:rsidRPr="00473924">
        <w:rPr>
          <w:rFonts w:ascii="IRBadr" w:hAnsi="IRBadr" w:cs="IRBadr"/>
          <w:sz w:val="28"/>
          <w:szCs w:val="28"/>
          <w:rtl/>
          <w:lang w:bidi="fa-IR"/>
        </w:rPr>
        <w:t xml:space="preserve"> شد که در اینجا هفت صورت وجود دارد و در قبال حکم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در اینجا</w:t>
      </w:r>
      <w:r w:rsidR="00437386" w:rsidRPr="00473924">
        <w:rPr>
          <w:rFonts w:ascii="IRBadr" w:hAnsi="IRBadr" w:cs="IRBadr"/>
          <w:sz w:val="28"/>
          <w:szCs w:val="28"/>
          <w:rtl/>
          <w:lang w:bidi="fa-IR"/>
        </w:rPr>
        <w:t xml:space="preserve"> سه قول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مطرح‌شده</w:t>
      </w:r>
      <w:r w:rsidR="00437386" w:rsidRPr="00473924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437386" w:rsidRPr="00473924" w:rsidRDefault="00437386" w:rsidP="00473924">
      <w:pPr>
        <w:pStyle w:val="Heading1"/>
        <w:spacing w:line="360" w:lineRule="auto"/>
        <w:rPr>
          <w:rFonts w:ascii="IRBadr" w:hAnsi="IRBadr" w:cs="IRBadr"/>
          <w:rtl/>
        </w:rPr>
      </w:pPr>
      <w:bookmarkStart w:id="3" w:name="_Toc432609836"/>
      <w:r w:rsidRPr="00473924">
        <w:rPr>
          <w:rFonts w:ascii="IRBadr" w:hAnsi="IRBadr" w:cs="IRBadr"/>
          <w:rtl/>
        </w:rPr>
        <w:t>مروری بر اقوال در این مقام</w:t>
      </w:r>
      <w:bookmarkEnd w:id="3"/>
    </w:p>
    <w:p w:rsidR="00437386" w:rsidRPr="00473924" w:rsidRDefault="00437386" w:rsidP="0047392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قول مشهور در این زمینه این است که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دیه‌ای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بر کسی نیست مطلقاً؛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نه لازم است فرد 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از طرف خودش و نه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بیت‌المال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دیه‌ای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را پرداخت کنند.</w:t>
      </w:r>
    </w:p>
    <w:p w:rsidR="00437386" w:rsidRPr="00473924" w:rsidRDefault="00C65FF7" w:rsidP="0047392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قول دوم که از مرحوم شیخ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است در استبصار، این بود که در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حدودالله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دیه نیست، اما در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حق‌الناس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دیه در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بیت‌المال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جاری است، و از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بیت‌المال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باید دیه را پرداخت.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بیت‌المالی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که اینجا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بیت‌المال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مسلمین منظور است، آنچه به امام از باب جنبه حقوقی مترتب است. حالا اینکه از سهم امام می‌شود داد یا نه</w:t>
      </w:r>
      <w:r w:rsidR="00437386" w:rsidRPr="00473924">
        <w:rPr>
          <w:rFonts w:ascii="IRBadr" w:hAnsi="IRBadr" w:cs="IRBadr"/>
          <w:sz w:val="28"/>
          <w:szCs w:val="28"/>
          <w:rtl/>
          <w:lang w:bidi="fa-IR"/>
        </w:rPr>
        <w:t>؟ حساب آن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جدا است، راجع به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بیت‌المال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حرفه‌ای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فراوانی وجود دارد</w:t>
      </w:r>
      <w:r w:rsidR="00437386" w:rsidRPr="0047392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37386" w:rsidRPr="00473924" w:rsidRDefault="00437386" w:rsidP="00473924">
      <w:pPr>
        <w:pStyle w:val="Heading1"/>
        <w:spacing w:line="360" w:lineRule="auto"/>
        <w:rPr>
          <w:rFonts w:ascii="IRBadr" w:hAnsi="IRBadr" w:cs="IRBadr"/>
          <w:rtl/>
        </w:rPr>
      </w:pPr>
      <w:bookmarkStart w:id="4" w:name="_Toc432609837"/>
      <w:r w:rsidRPr="00473924">
        <w:rPr>
          <w:rFonts w:ascii="IRBadr" w:hAnsi="IRBadr" w:cs="IRBadr"/>
          <w:rtl/>
        </w:rPr>
        <w:t>مستند سوم و چهارم</w:t>
      </w:r>
      <w:bookmarkEnd w:id="4"/>
    </w:p>
    <w:p w:rsidR="00437386" w:rsidRPr="00473924" w:rsidRDefault="00437386" w:rsidP="0047392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73924">
        <w:rPr>
          <w:rFonts w:ascii="IRBadr" w:hAnsi="IRBadr" w:cs="IRBadr"/>
          <w:sz w:val="28"/>
          <w:szCs w:val="28"/>
          <w:rtl/>
          <w:lang w:bidi="fa-IR"/>
        </w:rPr>
        <w:t>قول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 سوم هم این بود که این حکم در حدود است، اما در تعزیرات نیست.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بعدازآن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وارد ادله قول اول شدیم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 که آنجا ذکر 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شد 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>یکی روایت صحیحه حلبی بود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 و یکی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نیز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 روایت ابی الصباح کنانی بود که عرض کردیم 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>و تفاوت‌هایی که بین این‌ها بود، ذکر شد. یکی نیز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 قاعده احسان بود. قاعده احسان که هم منشأ قرآنی دارد هم عقلایی 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>و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 هم روایی دارد، قاعده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عامه‌ای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 است که در اینجا همان نتیجه قول اول است. چون فرض این است که قاضی و مجری 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حکم محسن هستند،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افراط‌وتفریط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 نکردند و برای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انجام‌وظیفه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 اقدام به این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کارکردند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. در مسیر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انجام‌وظیفه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>اگر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 کسی خسارت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غیرمترقبه‌ای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 وارد شد، مانعی ندارد و دیگر سبیلی بر آن نیست. این سه دلیل بود که بحث کردیم.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اما گفتیم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، دلیل سوم که قاعده احسان باشد، از جهت شمول نسبت به تعزیرها و همه انواع حدود اطلاق دارد. چه 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مواردی 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که حد اجرا می‌کنند، چه در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حق‌الله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 چه در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حق‌الناس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34FF7" w:rsidRPr="00473924" w:rsidRDefault="00437386" w:rsidP="0047392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73924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و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که قاعده احسان 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نمی‌تواند دیه 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را 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از حیث مال 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>نفی بکند و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 است که باید به آن توجه کرد.</w:t>
      </w:r>
      <w:r w:rsidR="00934FF7" w:rsidRPr="0047392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>این روایاتی بود که در اینجا وجود دارد. البته می‌شود گفت که ارتکاز عقلایی یا سیره عقلایی هم همین است، که کسی که وظیفه‌اش را انجام می‌دهد، مانعی ندا</w:t>
      </w:r>
      <w:r w:rsidR="00934FF7" w:rsidRPr="00473924">
        <w:rPr>
          <w:rFonts w:ascii="IRBadr" w:hAnsi="IRBadr" w:cs="IRBadr"/>
          <w:sz w:val="28"/>
          <w:szCs w:val="28"/>
          <w:rtl/>
          <w:lang w:bidi="fa-IR"/>
        </w:rPr>
        <w:t>رد. منتها آن‌ها دلیل جدایی نیست.</w:t>
      </w:r>
    </w:p>
    <w:p w:rsidR="00934FF7" w:rsidRPr="00473924" w:rsidRDefault="00C65FF7" w:rsidP="0047392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ولی در جواهر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به‌قاعده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احسان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اشاره‌شده</w:t>
      </w:r>
      <w:r w:rsidR="00934FF7" w:rsidRPr="00473924">
        <w:rPr>
          <w:rFonts w:ascii="IRBadr" w:hAnsi="IRBadr" w:cs="IRBadr"/>
          <w:sz w:val="28"/>
          <w:szCs w:val="28"/>
          <w:rtl/>
          <w:lang w:bidi="fa-IR"/>
        </w:rPr>
        <w:t xml:space="preserve"> است و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کسی اشکالی </w:t>
      </w:r>
      <w:r w:rsidR="00934FF7" w:rsidRPr="00473924">
        <w:rPr>
          <w:rFonts w:ascii="IRBadr" w:hAnsi="IRBadr" w:cs="IRBadr"/>
          <w:sz w:val="28"/>
          <w:szCs w:val="28"/>
          <w:rtl/>
          <w:lang w:bidi="fa-IR"/>
        </w:rPr>
        <w:t xml:space="preserve">را 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به این قاعده نکرده است و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علی‌القاعده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امر درستی است، یعنی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شبهه‌ای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در آن نیست.</w:t>
      </w:r>
    </w:p>
    <w:p w:rsidR="00934FF7" w:rsidRPr="00473924" w:rsidRDefault="00934FF7" w:rsidP="00473924">
      <w:pPr>
        <w:pStyle w:val="Heading2"/>
        <w:spacing w:line="360" w:lineRule="auto"/>
        <w:rPr>
          <w:rFonts w:ascii="IRBadr" w:hAnsi="IRBadr" w:cs="IRBadr"/>
          <w:rtl/>
        </w:rPr>
      </w:pPr>
      <w:bookmarkStart w:id="5" w:name="_Toc432609838"/>
      <w:r w:rsidRPr="00473924">
        <w:rPr>
          <w:rFonts w:ascii="IRBadr" w:hAnsi="IRBadr" w:cs="IRBadr"/>
          <w:rtl/>
        </w:rPr>
        <w:t>اصل عملی در این مقام</w:t>
      </w:r>
      <w:bookmarkEnd w:id="5"/>
    </w:p>
    <w:p w:rsidR="00934FF7" w:rsidRPr="00473924" w:rsidRDefault="00C65FF7" w:rsidP="0047392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اگر از این سه دلیل اجتهادی هم عبور بکنیم، آیا اصل عملی اینجا وجود دارد و مقتضای اصل عملی چیست؟ می‌شود گفت دلیل 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چهارم اصل عملی است. اگر این ادله هم طبق روایات </w:t>
      </w:r>
      <w:r w:rsidR="00934FF7" w:rsidRPr="00473924">
        <w:rPr>
          <w:rFonts w:ascii="IRBadr" w:hAnsi="IRBadr" w:cs="IRBadr"/>
          <w:sz w:val="28"/>
          <w:szCs w:val="28"/>
          <w:rtl/>
          <w:lang w:bidi="fa-IR"/>
        </w:rPr>
        <w:t>درست باشد اصل عملی وجود دارد که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اصل برائت باشد. اینجا شک در این است </w:t>
      </w:r>
      <w:r w:rsidR="00934FF7" w:rsidRPr="00473924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>این</w:t>
      </w:r>
      <w:r w:rsidR="00934FF7" w:rsidRPr="00473924">
        <w:rPr>
          <w:rFonts w:ascii="IRBadr" w:hAnsi="IRBadr" w:cs="IRBadr"/>
          <w:sz w:val="28"/>
          <w:szCs w:val="28"/>
          <w:rtl/>
          <w:lang w:bidi="fa-IR"/>
        </w:rPr>
        <w:t xml:space="preserve"> فرد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به وظیفه خودش عمل کرده است، حکم داده به هشتاد ضربه شلاق به خاطر شرب مسکر، مجری هم به خاطر حکم حاکم اقدام کرده است،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افراط‌وتفریطی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در کار نبوده است،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حداکثر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این است که سبیلی در بین نیست که دلالت بر این داشته باشد </w:t>
      </w:r>
      <w:r w:rsidR="00934FF7" w:rsidRPr="00473924">
        <w:rPr>
          <w:rFonts w:ascii="IRBadr" w:hAnsi="IRBadr" w:cs="IRBadr"/>
          <w:sz w:val="28"/>
          <w:szCs w:val="28"/>
          <w:rtl/>
          <w:lang w:bidi="fa-IR"/>
        </w:rPr>
        <w:t>ضمانی هست یا نیست،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934FF7" w:rsidRPr="00473924">
        <w:rPr>
          <w:rFonts w:ascii="IRBadr" w:hAnsi="IRBadr" w:cs="IRBadr"/>
          <w:sz w:val="28"/>
          <w:szCs w:val="28"/>
          <w:rtl/>
          <w:lang w:bidi="fa-IR"/>
        </w:rPr>
        <w:t xml:space="preserve"> طبعاً در اینجا حکم به برائت خواهد شد.</w:t>
      </w:r>
    </w:p>
    <w:p w:rsidR="00934FF7" w:rsidRPr="00473924" w:rsidRDefault="00934FF7" w:rsidP="00473924">
      <w:pPr>
        <w:pStyle w:val="Heading2"/>
        <w:spacing w:line="360" w:lineRule="auto"/>
        <w:rPr>
          <w:rFonts w:ascii="IRBadr" w:hAnsi="IRBadr" w:cs="IRBadr"/>
          <w:rtl/>
        </w:rPr>
      </w:pPr>
      <w:bookmarkStart w:id="6" w:name="_Toc432609839"/>
      <w:r w:rsidRPr="00473924">
        <w:rPr>
          <w:rFonts w:ascii="IRBadr" w:hAnsi="IRBadr" w:cs="IRBadr"/>
          <w:rtl/>
        </w:rPr>
        <w:t>استصحاب و برائت در این باب</w:t>
      </w:r>
      <w:bookmarkEnd w:id="6"/>
    </w:p>
    <w:p w:rsidR="00934FF7" w:rsidRPr="00473924" w:rsidRDefault="00934FF7" w:rsidP="0047392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چیزی که 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می‌خواهیم بگوییم این است که اصل استصحاب و برائت هماهنگ با همین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 است که اینجا برشمرده شد، البته از حیث اینکه آیا بر خود حاکم یا مجری دیه هست یا نیست؟ برائت در تکلیف آن‌ها جاری 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lastRenderedPageBreak/>
        <w:t>می‌شود.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پس از جریان استصحاب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حکمی وضعی مبنی بر عدم ضمان تولید شود.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ظاهراً در جریان برائت نسبت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به‌حکم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تکلیفی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بحث‌هایی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وجود دارد.</w:t>
      </w:r>
    </w:p>
    <w:p w:rsidR="00BA112D" w:rsidRPr="00473924" w:rsidRDefault="00BA112D" w:rsidP="0047392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لذا ما در این مقام در ابتدا به ادله برشمرده شده تکیه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پس‌ازآن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به سراغ اصل عملی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می‌رویم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که در حقیقت عملکرد آن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درجایی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است که 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دلیل نباشد یا ادله تعارض 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تساقط 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>کنند، عام فوق هم نباشد، تا نوبت به اصل عملی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برسد.</w:t>
      </w:r>
    </w:p>
    <w:p w:rsidR="00BA112D" w:rsidRPr="00473924" w:rsidRDefault="00BA112D" w:rsidP="00473924">
      <w:pPr>
        <w:pStyle w:val="Heading3"/>
        <w:spacing w:line="360" w:lineRule="auto"/>
        <w:rPr>
          <w:rFonts w:ascii="IRBadr" w:hAnsi="IRBadr" w:cs="IRBadr"/>
          <w:rtl/>
        </w:rPr>
      </w:pPr>
      <w:bookmarkStart w:id="7" w:name="_Toc432609840"/>
      <w:r w:rsidRPr="00473924">
        <w:rPr>
          <w:rFonts w:ascii="IRBadr" w:hAnsi="IRBadr" w:cs="IRBadr"/>
          <w:rtl/>
        </w:rPr>
        <w:t>مستند قول دوم</w:t>
      </w:r>
      <w:bookmarkEnd w:id="7"/>
    </w:p>
    <w:p w:rsidR="00BA112D" w:rsidRPr="00473924" w:rsidRDefault="00BA112D" w:rsidP="0047392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مستند 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قول دوم که قول مرحوم شیخ در استبصار است، یک روایت است. این روایت هم در همان جلد نوزده ابواب قصاص نفس، باب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بیست‌وچهار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>، حدیث سوم است که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7E5ED8" w:rsidRPr="00473924" w:rsidRDefault="007E5ED8" w:rsidP="00473924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lastRenderedPageBreak/>
        <w:t xml:space="preserve">«مُحَمَّدُ بْنُ </w:t>
      </w:r>
      <w:r w:rsidR="003500FA"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حْ</w:t>
      </w:r>
      <w:r w:rsidR="003500FA"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یی</w:t>
      </w:r>
      <w:r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أَحْمَدَ بْنِ مُحَمَّدٍ عَنِ ابْنِ مَحْبُوبٍ عَنِ الْحَسَنِ بْنِ صَالِحٍ الثَّوْرِ</w:t>
      </w:r>
      <w:r w:rsidR="003500FA"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أَبِ</w:t>
      </w:r>
      <w:r w:rsidR="003500FA"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قَالَ </w:t>
      </w:r>
      <w:r w:rsidR="003500FA"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انَ عَلِ</w:t>
      </w:r>
      <w:r w:rsidR="003500FA"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 </w:t>
      </w:r>
      <w:r w:rsidR="003500FA"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قُولُ مَنْ ضَرَبْنَاهُ حَدّاً مِنْ حُدُودِ اللَّهِ فَمَاتَ فَلَا دِ</w:t>
      </w:r>
      <w:r w:rsidR="003500FA"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ةَ لَهُ عَلَ</w:t>
      </w:r>
      <w:r w:rsidR="003500FA"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نَا وَ مَنْ ضَرَبْنَاهُ حَدّاً فِ</w:t>
      </w:r>
      <w:r w:rsidR="003500FA"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شَ</w:t>
      </w:r>
      <w:r w:rsidR="003500FA"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‌ءٍ مِنْ حُقُوقِ النَّاسِ فَمَاتَ فَإِنَّ دِ</w:t>
      </w:r>
      <w:r w:rsidR="003500FA"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تَهُ عَلَ</w:t>
      </w:r>
      <w:r w:rsidR="003500FA"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نَا.</w:t>
      </w:r>
      <w:r w:rsidR="003500FA"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473924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BA112D" w:rsidRPr="00473924" w:rsidRDefault="00C65FF7" w:rsidP="0047392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اگر حدی از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حدودالله</w:t>
      </w:r>
      <w:r w:rsidR="00BA112D" w:rsidRPr="00473924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جاری کردی، اما اگر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حدودالله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طوری بود که به خاطر آن شخص فوت کرد </w:t>
      </w:r>
      <w:r w:rsidR="00BA112D" w:rsidRPr="00473924">
        <w:rPr>
          <w:rFonts w:ascii="IRBadr" w:hAnsi="IRBadr" w:cs="IRBadr"/>
          <w:sz w:val="28"/>
          <w:szCs w:val="28"/>
          <w:rtl/>
          <w:lang w:bidi="fa-IR"/>
        </w:rPr>
        <w:t>باید دیه پرداخت شود.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 xml:space="preserve"> ظاهراً</w:t>
      </w:r>
      <w:r w:rsidR="00BA112D" w:rsidRPr="00473924">
        <w:rPr>
          <w:rFonts w:ascii="IRBadr" w:hAnsi="IRBadr" w:cs="IRBadr"/>
          <w:sz w:val="28"/>
          <w:szCs w:val="28"/>
          <w:rtl/>
          <w:lang w:bidi="fa-IR"/>
        </w:rPr>
        <w:t xml:space="preserve"> این حدیث از اسناد مناسبی برخوردار است و دلالت واضحی دارد و قابل مناقشه نیست. علاوه بر اینکه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به‌خوبی</w:t>
      </w:r>
      <w:r w:rsidR="00BA112D" w:rsidRPr="00473924">
        <w:rPr>
          <w:rFonts w:ascii="IRBadr" w:hAnsi="IRBadr" w:cs="IRBadr"/>
          <w:sz w:val="28"/>
          <w:szCs w:val="28"/>
          <w:rtl/>
          <w:lang w:bidi="fa-IR"/>
        </w:rPr>
        <w:t xml:space="preserve"> بین حقوق الله و حقوق الناس تفصیل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="00BA112D" w:rsidRPr="0047392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B5C9E" w:rsidRPr="00473924" w:rsidRDefault="00CB5C9E" w:rsidP="00473924">
      <w:pPr>
        <w:pStyle w:val="Heading3"/>
        <w:spacing w:line="360" w:lineRule="auto"/>
        <w:rPr>
          <w:rFonts w:ascii="IRBadr" w:hAnsi="IRBadr" w:cs="IRBadr"/>
          <w:rtl/>
        </w:rPr>
      </w:pPr>
      <w:bookmarkStart w:id="8" w:name="_Toc432609841"/>
      <w:r w:rsidRPr="00473924">
        <w:rPr>
          <w:rFonts w:ascii="IRBadr" w:hAnsi="IRBadr" w:cs="IRBadr"/>
          <w:rtl/>
        </w:rPr>
        <w:lastRenderedPageBreak/>
        <w:t>بررسی روایت</w:t>
      </w:r>
      <w:bookmarkEnd w:id="8"/>
    </w:p>
    <w:p w:rsidR="00CB5C9E" w:rsidRPr="00473924" w:rsidRDefault="00C65FF7" w:rsidP="0047392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و نسبت این روایت به صحیحه حلبی یا به روایت ابی الصباح کنانی یا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به‌قاعده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احسان نسبت مقید است.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BA112D" w:rsidRPr="00473924">
        <w:rPr>
          <w:rFonts w:ascii="IRBadr" w:hAnsi="IRBadr" w:cs="IRBadr"/>
          <w:sz w:val="28"/>
          <w:szCs w:val="28"/>
          <w:rtl/>
          <w:lang w:bidi="fa-IR"/>
        </w:rPr>
        <w:t xml:space="preserve"> الآن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آن‌طور</w:t>
      </w:r>
      <w:r w:rsidR="00BA112D" w:rsidRPr="00473924">
        <w:rPr>
          <w:rFonts w:ascii="IRBadr" w:hAnsi="IRBadr" w:cs="IRBadr"/>
          <w:sz w:val="28"/>
          <w:szCs w:val="28"/>
          <w:rtl/>
          <w:lang w:bidi="fa-IR"/>
        </w:rPr>
        <w:t xml:space="preserve"> که به یاد دارم 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حسن بن صالح سوری در رجال کشی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خیلی جدی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تضعیف‌شده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است. تعبیری که در رجال کشی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تضعیف‌شده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است، شیخ هم در تهذیب تعبیرش این است که </w:t>
      </w:r>
      <w:r w:rsidR="00CB5C9E" w:rsidRPr="00473924">
        <w:rPr>
          <w:rFonts w:ascii="IRBadr" w:hAnsi="IRBadr" w:cs="IRBadr"/>
          <w:sz w:val="28"/>
          <w:szCs w:val="28"/>
          <w:rtl/>
          <w:lang w:bidi="fa-IR"/>
        </w:rPr>
        <w:t>او زیدی و وتری مذهب است یعنی کسانی که به روایت ابی بکر،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 xml:space="preserve"> عمر</w:t>
      </w:r>
      <w:r w:rsidR="00CB5C9E" w:rsidRPr="00473924">
        <w:rPr>
          <w:rFonts w:ascii="IRBadr" w:hAnsi="IRBadr" w:cs="IRBadr"/>
          <w:sz w:val="28"/>
          <w:szCs w:val="28"/>
          <w:rtl/>
          <w:lang w:bidi="fa-IR"/>
        </w:rPr>
        <w:t xml:space="preserve"> و امیرالمؤمنین (ع) دون عثمان،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 xml:space="preserve"> طلحه</w:t>
      </w:r>
      <w:r w:rsidR="00CB5C9E" w:rsidRPr="00473924">
        <w:rPr>
          <w:rFonts w:ascii="IRBadr" w:hAnsi="IRBadr" w:cs="IRBadr"/>
          <w:sz w:val="28"/>
          <w:szCs w:val="28"/>
          <w:rtl/>
          <w:lang w:bidi="fa-IR"/>
        </w:rPr>
        <w:t>،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 xml:space="preserve"> زبیر</w:t>
      </w:r>
      <w:r w:rsidR="00CB5C9E" w:rsidRPr="00473924">
        <w:rPr>
          <w:rFonts w:ascii="IRBadr" w:hAnsi="IRBadr" w:cs="IRBadr"/>
          <w:sz w:val="28"/>
          <w:szCs w:val="28"/>
          <w:rtl/>
          <w:lang w:bidi="fa-IR"/>
        </w:rPr>
        <w:t xml:space="preserve"> و معاویه.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CB5C9E" w:rsidRPr="00473924">
        <w:rPr>
          <w:rFonts w:ascii="IRBadr" w:hAnsi="IRBadr" w:cs="IRBadr"/>
          <w:sz w:val="28"/>
          <w:szCs w:val="28"/>
          <w:rtl/>
          <w:lang w:bidi="fa-IR"/>
        </w:rPr>
        <w:t xml:space="preserve"> روایت او متروک خواهد بود.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درنهایت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این حدیث قابل عمل نیست. مشهور هم به آن عمل نکردند.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بااینکه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در مجامع روایی هم اول بوده است مشهور به</w:t>
      </w:r>
      <w:r w:rsidR="00CB5C9E" w:rsidRPr="00473924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عمل‌نکرده‌اند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92405" w:rsidRPr="00473924" w:rsidRDefault="00C65FF7" w:rsidP="0047392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73924">
        <w:rPr>
          <w:rFonts w:ascii="IRBadr" w:hAnsi="IRBadr" w:cs="IRBadr"/>
          <w:sz w:val="28"/>
          <w:szCs w:val="28"/>
          <w:rtl/>
          <w:lang w:bidi="fa-IR"/>
        </w:rPr>
        <w:t>بنابراین وجهی برای اینکه ما به این حدیث عمل بکنیم، وجود ندارد.</w:t>
      </w:r>
    </w:p>
    <w:p w:rsidR="00B92405" w:rsidRPr="00473924" w:rsidRDefault="00B92405" w:rsidP="00473924">
      <w:pPr>
        <w:pStyle w:val="Heading3"/>
        <w:spacing w:line="360" w:lineRule="auto"/>
        <w:rPr>
          <w:rFonts w:ascii="IRBadr" w:hAnsi="IRBadr" w:cs="IRBadr"/>
          <w:rtl/>
        </w:rPr>
      </w:pPr>
      <w:bookmarkStart w:id="9" w:name="_Toc432609842"/>
      <w:r w:rsidRPr="00473924">
        <w:rPr>
          <w:rFonts w:ascii="IRBadr" w:hAnsi="IRBadr" w:cs="IRBadr"/>
          <w:rtl/>
        </w:rPr>
        <w:lastRenderedPageBreak/>
        <w:t>مناقشات در قول سوم</w:t>
      </w:r>
      <w:bookmarkEnd w:id="9"/>
    </w:p>
    <w:p w:rsidR="00B92405" w:rsidRPr="00473924" w:rsidRDefault="00B92405" w:rsidP="00473924">
      <w:pPr>
        <w:pStyle w:val="Heading3"/>
        <w:spacing w:line="360" w:lineRule="auto"/>
        <w:rPr>
          <w:rFonts w:ascii="IRBadr" w:hAnsi="IRBadr" w:cs="IRBadr"/>
          <w:rtl/>
        </w:rPr>
      </w:pPr>
      <w:bookmarkStart w:id="10" w:name="_Toc432609843"/>
      <w:r w:rsidRPr="00473924">
        <w:rPr>
          <w:rFonts w:ascii="IRBadr" w:hAnsi="IRBadr" w:cs="IRBadr"/>
          <w:rtl/>
        </w:rPr>
        <w:t>مناقشه اول</w:t>
      </w:r>
      <w:bookmarkEnd w:id="10"/>
    </w:p>
    <w:p w:rsidR="00B92405" w:rsidRPr="00473924" w:rsidRDefault="00C65FF7" w:rsidP="0047392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این قول </w:t>
      </w:r>
      <w:r w:rsidR="00B92405" w:rsidRPr="00473924">
        <w:rPr>
          <w:rFonts w:ascii="IRBadr" w:hAnsi="IRBadr" w:cs="IRBadr"/>
          <w:sz w:val="28"/>
          <w:szCs w:val="28"/>
          <w:rtl/>
          <w:lang w:bidi="fa-IR"/>
        </w:rPr>
        <w:t>سوم، با چند وجه قابل مناقشه است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. یک وجه این است که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عده‌ای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گفتند </w:t>
      </w:r>
      <w:r w:rsidR="00B92405" w:rsidRPr="00473924">
        <w:rPr>
          <w:rFonts w:ascii="IRBadr" w:hAnsi="IRBadr" w:cs="IRBadr"/>
          <w:sz w:val="28"/>
          <w:szCs w:val="28"/>
          <w:rtl/>
          <w:lang w:bidi="fa-IR"/>
        </w:rPr>
        <w:t xml:space="preserve">حد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بالمعنی</w:t>
      </w:r>
      <w:r w:rsidR="00B92405" w:rsidRPr="00473924">
        <w:rPr>
          <w:rFonts w:ascii="IRBadr" w:hAnsi="IRBadr" w:cs="IRBadr"/>
          <w:sz w:val="28"/>
          <w:szCs w:val="28"/>
          <w:rtl/>
          <w:lang w:bidi="fa-IR"/>
        </w:rPr>
        <w:t xml:space="preserve"> العام است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>. حد یعنی مطلق عقوبت شرعی، اعم از عقوبت</w:t>
      </w:r>
      <w:r w:rsidR="00B92405" w:rsidRPr="00473924">
        <w:rPr>
          <w:rFonts w:ascii="IRBadr" w:hAnsi="IRBadr" w:cs="IRBadr"/>
          <w:sz w:val="28"/>
          <w:szCs w:val="28"/>
          <w:rtl/>
          <w:lang w:bidi="fa-IR"/>
        </w:rPr>
        <w:t>ی که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مقرر باشد مثل حد، یا عقوبت‌هایی که دست حاکم است مثل تعزیر،</w:t>
      </w:r>
      <w:r w:rsidR="00B92405" w:rsidRPr="0047392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این‌یک</w:t>
      </w:r>
      <w:r w:rsidR="00B92405" w:rsidRPr="00473924">
        <w:rPr>
          <w:rFonts w:ascii="IRBadr" w:hAnsi="IRBadr" w:cs="IRBadr"/>
          <w:sz w:val="28"/>
          <w:szCs w:val="28"/>
          <w:rtl/>
          <w:lang w:bidi="fa-IR"/>
        </w:rPr>
        <w:t xml:space="preserve"> وجه است. البته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گفتیم </w:t>
      </w:r>
      <w:r w:rsidR="00B92405" w:rsidRPr="00473924">
        <w:rPr>
          <w:rFonts w:ascii="IRBadr" w:hAnsi="IRBadr" w:cs="IRBadr"/>
          <w:sz w:val="28"/>
          <w:szCs w:val="28"/>
          <w:rtl/>
          <w:lang w:bidi="fa-IR"/>
        </w:rPr>
        <w:t>این وجه را قبول نداریم.</w:t>
      </w:r>
    </w:p>
    <w:p w:rsidR="00B92405" w:rsidRPr="00473924" w:rsidRDefault="00B92405" w:rsidP="0047392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چراکه 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دو معنای حقیقی در سایر روایات برای حد است. اما تعیین یکی از این‌ها قرینه می‌خواهد. و اگر قرینه بر تعمیم نداشته باشیم و اصطلاح عام نباشد،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همان‌قدر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 متیقن 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اخذ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قرینه‌ای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 در این روایات بر عموم نداریم، بر اینکه منظور اصطلاح عام است.</w:t>
      </w:r>
    </w:p>
    <w:p w:rsidR="00B92405" w:rsidRPr="00473924" w:rsidRDefault="00B92405" w:rsidP="00473924">
      <w:pPr>
        <w:pStyle w:val="Heading3"/>
        <w:spacing w:line="360" w:lineRule="auto"/>
        <w:rPr>
          <w:rFonts w:ascii="IRBadr" w:hAnsi="IRBadr" w:cs="IRBadr"/>
          <w:rtl/>
        </w:rPr>
      </w:pPr>
      <w:bookmarkStart w:id="11" w:name="_Toc432609844"/>
      <w:r w:rsidRPr="00473924">
        <w:rPr>
          <w:rFonts w:ascii="IRBadr" w:hAnsi="IRBadr" w:cs="IRBadr"/>
          <w:rtl/>
        </w:rPr>
        <w:lastRenderedPageBreak/>
        <w:t>انواع مشترک لفظی</w:t>
      </w:r>
      <w:bookmarkEnd w:id="11"/>
    </w:p>
    <w:p w:rsidR="00B92405" w:rsidRPr="00473924" w:rsidRDefault="00C65FF7" w:rsidP="0047392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73924">
        <w:rPr>
          <w:rFonts w:ascii="IRBadr" w:hAnsi="IRBadr" w:cs="IRBadr"/>
          <w:sz w:val="28"/>
          <w:szCs w:val="28"/>
          <w:rtl/>
          <w:lang w:bidi="fa-IR"/>
        </w:rPr>
        <w:t>قاعده دوم این است</w:t>
      </w:r>
      <w:r w:rsidR="00B92405" w:rsidRPr="0047392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مشترک لفظی </w:t>
      </w:r>
      <w:r w:rsidR="00B92405" w:rsidRPr="00473924">
        <w:rPr>
          <w:rFonts w:ascii="IRBadr" w:hAnsi="IRBadr" w:cs="IRBadr"/>
          <w:sz w:val="28"/>
          <w:szCs w:val="28"/>
          <w:rtl/>
          <w:lang w:bidi="fa-IR"/>
        </w:rPr>
        <w:t>دو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قسم است، گاهی مشترک لفظی بین معانی متباین است، گاهی بین معنای عام و خاص است. اگر بین معانی متباین باشد، تعیین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هرکدام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قرینه معینه می‌خواهد و اگر قرینه معینه ای در کار نباشد، لفظ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>مجمل</w:t>
      </w:r>
      <w:r w:rsidR="00B92405" w:rsidRPr="00473924">
        <w:rPr>
          <w:rFonts w:ascii="IRBadr" w:hAnsi="IRBadr" w:cs="IRBadr"/>
          <w:sz w:val="28"/>
          <w:szCs w:val="28"/>
          <w:rtl/>
          <w:lang w:bidi="fa-IR"/>
        </w:rPr>
        <w:t xml:space="preserve"> می‌شود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>. اما در نوع دوم مشترک لفظی که اینجا از همان قبیله است، اگر لفظ مشترک به معنای عام و خاص باشد، تعیین معنای عام قرینه معینه ای می‌خواهد.</w:t>
      </w:r>
    </w:p>
    <w:p w:rsidR="00C929DB" w:rsidRPr="00473924" w:rsidRDefault="003500FA" w:rsidP="00473924">
      <w:pPr>
        <w:pStyle w:val="Heading4"/>
        <w:spacing w:line="360" w:lineRule="auto"/>
        <w:ind w:firstLine="0"/>
        <w:rPr>
          <w:rFonts w:ascii="IRBadr" w:hAnsi="IRBadr" w:cs="IRBadr"/>
          <w:rtl/>
        </w:rPr>
      </w:pPr>
      <w:bookmarkStart w:id="12" w:name="_Toc432609845"/>
      <w:r w:rsidRPr="00473924">
        <w:rPr>
          <w:rFonts w:ascii="IRBadr" w:hAnsi="IRBadr" w:cs="IRBadr"/>
          <w:rtl/>
        </w:rPr>
        <w:t>مسئله</w:t>
      </w:r>
      <w:r w:rsidR="00C929DB" w:rsidRPr="00473924">
        <w:rPr>
          <w:rFonts w:ascii="IRBadr" w:hAnsi="IRBadr" w:cs="IRBadr"/>
          <w:rtl/>
        </w:rPr>
        <w:t xml:space="preserve"> ششم:</w:t>
      </w:r>
      <w:r w:rsidRPr="00473924">
        <w:rPr>
          <w:rFonts w:ascii="IRBadr" w:hAnsi="IRBadr" w:cs="IRBadr"/>
          <w:rtl/>
        </w:rPr>
        <w:t xml:space="preserve"> کشف</w:t>
      </w:r>
      <w:r w:rsidR="00C929DB" w:rsidRPr="00473924">
        <w:rPr>
          <w:rFonts w:ascii="IRBadr" w:hAnsi="IRBadr" w:cs="IRBadr"/>
          <w:rtl/>
        </w:rPr>
        <w:t xml:space="preserve"> خلاف در حکم</w:t>
      </w:r>
      <w:bookmarkEnd w:id="12"/>
    </w:p>
    <w:p w:rsidR="00C929DB" w:rsidRPr="00473924" w:rsidRDefault="00C65FF7" w:rsidP="0047392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73924">
        <w:rPr>
          <w:rFonts w:ascii="IRBadr" w:hAnsi="IRBadr" w:cs="IRBadr"/>
          <w:sz w:val="28"/>
          <w:szCs w:val="28"/>
          <w:rtl/>
          <w:lang w:bidi="fa-IR"/>
        </w:rPr>
        <w:t>مسئله ششم این است که</w:t>
      </w:r>
      <w:r w:rsidR="00C929DB" w:rsidRPr="00473924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7E5ED8" w:rsidRPr="00473924" w:rsidRDefault="007E5ED8" w:rsidP="00473924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lastRenderedPageBreak/>
        <w:t>«لو أقام الحا</w:t>
      </w:r>
      <w:r w:rsidR="003500FA"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 الحدّ بالقتل، فبان فسوق الشاهد</w:t>
      </w:r>
      <w:r w:rsidR="003500FA"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ن، </w:t>
      </w:r>
      <w:r w:rsidR="003500FA"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انت الد</w:t>
      </w:r>
      <w:r w:rsidR="003500FA"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ة ف</w:t>
      </w:r>
      <w:r w:rsidR="003500FA"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</w:t>
      </w:r>
      <w:r w:rsidR="003500FA"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ت المال، و لا </w:t>
      </w:r>
      <w:r w:rsidR="003500FA"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ضمنها الحا</w:t>
      </w:r>
      <w:r w:rsidR="003500FA"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7392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م و لا عاقلته» </w:t>
      </w:r>
      <w:r w:rsidRPr="00473924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</w:p>
    <w:p w:rsidR="00C929DB" w:rsidRPr="00473924" w:rsidRDefault="00C65FF7" w:rsidP="0047392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73924">
        <w:rPr>
          <w:rFonts w:ascii="IRBadr" w:hAnsi="IRBadr" w:cs="IRBadr"/>
          <w:sz w:val="28"/>
          <w:szCs w:val="28"/>
          <w:rtl/>
          <w:lang w:bidi="fa-IR"/>
        </w:rPr>
        <w:t>مسئله ششم دو فرع دارد. فرع اول</w:t>
      </w:r>
      <w:r w:rsidR="00C929DB" w:rsidRPr="00473924">
        <w:rPr>
          <w:rFonts w:ascii="IRBadr" w:hAnsi="IRBadr" w:cs="IRBadr"/>
          <w:sz w:val="28"/>
          <w:szCs w:val="28"/>
          <w:rtl/>
          <w:lang w:bidi="fa-IR"/>
        </w:rPr>
        <w:t xml:space="preserve"> گذشت و فرع دوم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این است که اگر شهود شهادت دادند به امری که لازمه آن، </w:t>
      </w:r>
      <w:r w:rsidR="00C929DB" w:rsidRPr="00473924">
        <w:rPr>
          <w:rFonts w:ascii="IRBadr" w:hAnsi="IRBadr" w:cs="IRBadr"/>
          <w:sz w:val="28"/>
          <w:szCs w:val="28"/>
          <w:rtl/>
          <w:lang w:bidi="fa-IR"/>
        </w:rPr>
        <w:t xml:space="preserve">صدور حکم قتل است اما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پس‌ازآن</w:t>
      </w:r>
      <w:r w:rsidR="00C929DB" w:rsidRPr="0047392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>معلوم ش</w:t>
      </w:r>
      <w:r w:rsidR="00C929DB" w:rsidRPr="00473924">
        <w:rPr>
          <w:rFonts w:ascii="IRBadr" w:hAnsi="IRBadr" w:cs="IRBadr"/>
          <w:sz w:val="28"/>
          <w:szCs w:val="28"/>
          <w:rtl/>
          <w:lang w:bidi="fa-IR"/>
        </w:rPr>
        <w:t>و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د </w:t>
      </w:r>
      <w:r w:rsidR="00C929DB" w:rsidRPr="00473924">
        <w:rPr>
          <w:rFonts w:ascii="IRBadr" w:hAnsi="IRBadr" w:cs="IRBadr"/>
          <w:sz w:val="28"/>
          <w:szCs w:val="28"/>
          <w:rtl/>
          <w:lang w:bidi="fa-IR"/>
        </w:rPr>
        <w:t>این فرد واقعاً کسی را نکشته است.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="00C929DB" w:rsidRPr="00473924">
        <w:rPr>
          <w:rFonts w:ascii="IRBadr" w:hAnsi="IRBadr" w:cs="IRBadr"/>
          <w:sz w:val="28"/>
          <w:szCs w:val="28"/>
          <w:rtl/>
          <w:lang w:bidi="fa-IR"/>
        </w:rPr>
        <w:t xml:space="preserve"> در اینجا خطایی از ناحیه حاکم صورت گرفته است.</w:t>
      </w:r>
    </w:p>
    <w:p w:rsidR="00C929DB" w:rsidRPr="00473924" w:rsidRDefault="00C65FF7" w:rsidP="0047392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73924">
        <w:rPr>
          <w:rFonts w:ascii="IRBadr" w:hAnsi="IRBadr" w:cs="IRBadr"/>
          <w:sz w:val="28"/>
          <w:szCs w:val="28"/>
          <w:rtl/>
          <w:lang w:bidi="fa-IR"/>
        </w:rPr>
        <w:t>صورت قبلی ای</w:t>
      </w:r>
      <w:r w:rsidR="00C929DB" w:rsidRPr="00473924">
        <w:rPr>
          <w:rFonts w:ascii="IRBadr" w:hAnsi="IRBadr" w:cs="IRBadr"/>
          <w:sz w:val="28"/>
          <w:szCs w:val="28"/>
          <w:rtl/>
          <w:lang w:bidi="fa-IR"/>
        </w:rPr>
        <w:t>ن بود که طبق وظیفه عمل کرده بود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و تا آخر هم کشف خلافی نشده است. اما</w:t>
      </w:r>
      <w:r w:rsidR="00C929DB" w:rsidRPr="0047392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این صورت طبق وظیفه عمل کرده است، ولی کشف خلاف شده است. معلوم شده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فی‌الواقع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نیست</w:t>
      </w:r>
      <w:r w:rsidR="00C929DB" w:rsidRPr="0047392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929DB" w:rsidRPr="00473924" w:rsidRDefault="00C929DB" w:rsidP="00473924">
      <w:pPr>
        <w:pStyle w:val="Heading4"/>
        <w:spacing w:line="360" w:lineRule="auto"/>
        <w:ind w:firstLine="0"/>
        <w:rPr>
          <w:rFonts w:ascii="IRBadr" w:hAnsi="IRBadr" w:cs="IRBadr"/>
          <w:rtl/>
        </w:rPr>
      </w:pPr>
      <w:bookmarkStart w:id="13" w:name="_Toc432609846"/>
      <w:r w:rsidRPr="00473924">
        <w:rPr>
          <w:rFonts w:ascii="IRBadr" w:hAnsi="IRBadr" w:cs="IRBadr"/>
          <w:rtl/>
        </w:rPr>
        <w:t>انواع کشف خلاف</w:t>
      </w:r>
      <w:bookmarkEnd w:id="13"/>
    </w:p>
    <w:p w:rsidR="00C929DB" w:rsidRPr="00473924" w:rsidRDefault="00C929DB" w:rsidP="0047392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73924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البته 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کشف خلاف 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>اقسامی دارد. یکی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 همین است که کشف خلاف به لحاظ طرق اثبات انجام بگیرد،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یک نوع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آن‌هم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این است که اجتهاد او عوض 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شود که قبلاً 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>چنین امری حکمش قتل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بوده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 است، ولی بعد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>اً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 اجتهادش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عوض‌شده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 است. البته تبدل اجتهاد را در اینجا نیاوردند ولی جای بحث دارد.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>اگر حاکم به وظ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>یفه‌اش عمل کرد، ولی کشف خلاف شد،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>در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 اینجا دیه ثابت است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929DB" w:rsidRPr="00473924" w:rsidRDefault="00C929DB" w:rsidP="00473924">
      <w:pPr>
        <w:pStyle w:val="Heading4"/>
        <w:spacing w:line="360" w:lineRule="auto"/>
        <w:ind w:firstLine="0"/>
        <w:rPr>
          <w:rFonts w:ascii="IRBadr" w:hAnsi="IRBadr" w:cs="IRBadr"/>
          <w:rtl/>
        </w:rPr>
      </w:pPr>
      <w:bookmarkStart w:id="14" w:name="_Toc432609847"/>
      <w:r w:rsidRPr="00473924">
        <w:rPr>
          <w:rFonts w:ascii="IRBadr" w:hAnsi="IRBadr" w:cs="IRBadr"/>
          <w:rtl/>
        </w:rPr>
        <w:t>مستند حکم</w:t>
      </w:r>
      <w:bookmarkEnd w:id="14"/>
    </w:p>
    <w:p w:rsidR="00A550B5" w:rsidRPr="00473924" w:rsidRDefault="00C65FF7" w:rsidP="0047392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این قاعده </w:t>
      </w:r>
      <w:r w:rsidR="00A550B5" w:rsidRPr="00473924">
        <w:rPr>
          <w:rFonts w:ascii="IRBadr" w:hAnsi="IRBadr" w:cs="IRBadr"/>
          <w:sz w:val="28"/>
          <w:szCs w:val="28"/>
          <w:rtl/>
          <w:lang w:bidi="fa-IR"/>
        </w:rPr>
        <w:t>در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جلد هیجده، ابواب آداب قاضی، باب ده، صفحه صد و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شصت‌وپنج</w:t>
      </w:r>
      <w:r w:rsidR="00A550B5" w:rsidRPr="00473924">
        <w:rPr>
          <w:rFonts w:ascii="IRBadr" w:hAnsi="IRBadr" w:cs="IRBadr"/>
          <w:sz w:val="28"/>
          <w:szCs w:val="28"/>
          <w:rtl/>
          <w:lang w:bidi="fa-IR"/>
        </w:rPr>
        <w:t xml:space="preserve"> مذکور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است. یک روایت </w:t>
      </w:r>
      <w:r w:rsidR="00A550B5" w:rsidRPr="00473924">
        <w:rPr>
          <w:rFonts w:ascii="IRBadr" w:hAnsi="IRBadr" w:cs="IRBadr"/>
          <w:sz w:val="28"/>
          <w:szCs w:val="28"/>
          <w:rtl/>
          <w:lang w:bidi="fa-IR"/>
        </w:rPr>
        <w:t>نیز بیشتر ندارد؛</w:t>
      </w:r>
    </w:p>
    <w:p w:rsidR="007E5ED8" w:rsidRPr="00473924" w:rsidRDefault="007E5ED8" w:rsidP="0047392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این روایت از صبغ بن نباته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 xml:space="preserve"> است که دارای سند معتبری است که؛</w:t>
      </w:r>
    </w:p>
    <w:p w:rsidR="00A550B5" w:rsidRPr="00473924" w:rsidRDefault="00A550B5" w:rsidP="0047392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73924">
        <w:rPr>
          <w:rFonts w:ascii="IRBadr" w:hAnsi="IRBadr" w:cs="IRBadr"/>
          <w:sz w:val="28"/>
          <w:szCs w:val="28"/>
          <w:rtl/>
          <w:lang w:bidi="fa-IR"/>
        </w:rPr>
        <w:t>جایی که قاضی اشتباه نموده و به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حجت هم عمل کرده </w:t>
      </w:r>
      <w:r w:rsidRPr="00473924">
        <w:rPr>
          <w:rFonts w:ascii="IRBadr" w:hAnsi="IRBadr" w:cs="IRBadr"/>
          <w:sz w:val="28"/>
          <w:szCs w:val="28"/>
          <w:rtl/>
          <w:lang w:bidi="fa-IR"/>
        </w:rPr>
        <w:t>است،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 xml:space="preserve"> ضمانش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 بر </w:t>
      </w:r>
      <w:r w:rsidR="003500FA" w:rsidRPr="00473924">
        <w:rPr>
          <w:rFonts w:ascii="IRBadr" w:hAnsi="IRBadr" w:cs="IRBadr"/>
          <w:sz w:val="28"/>
          <w:szCs w:val="28"/>
          <w:rtl/>
          <w:lang w:bidi="fa-IR"/>
        </w:rPr>
        <w:t>بیت‌المال</w:t>
      </w:r>
      <w:r w:rsidR="00C65FF7" w:rsidRPr="00473924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152670" w:rsidRPr="00473924" w:rsidRDefault="00152670" w:rsidP="00473924">
      <w:pPr>
        <w:spacing w:line="360" w:lineRule="auto"/>
        <w:jc w:val="both"/>
        <w:rPr>
          <w:rFonts w:ascii="IRBadr" w:hAnsi="IRBadr" w:cs="IRBadr"/>
        </w:rPr>
      </w:pPr>
    </w:p>
    <w:sectPr w:rsidR="00152670" w:rsidRPr="00473924" w:rsidSect="000C3D7D">
      <w:headerReference w:type="default" r:id="rId7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613" w:rsidRDefault="000C5613">
      <w:pPr>
        <w:spacing w:after="0" w:line="240" w:lineRule="auto"/>
      </w:pPr>
      <w:r>
        <w:separator/>
      </w:r>
    </w:p>
  </w:endnote>
  <w:endnote w:type="continuationSeparator" w:id="0">
    <w:p w:rsidR="000C5613" w:rsidRDefault="000C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charset w:val="B2"/>
    <w:family w:val="auto"/>
    <w:pitch w:val="variable"/>
    <w:sig w:usb0="00002001" w:usb1="00000000" w:usb2="00000000" w:usb3="00000000" w:csb0="0000004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Noor_Titr">
    <w:altName w:val="Segoe UI Semibold"/>
    <w:charset w:val="00"/>
    <w:family w:val="auto"/>
    <w:pitch w:val="variable"/>
    <w:sig w:usb0="00000000" w:usb1="80002000" w:usb2="00000008" w:usb3="00000000" w:csb0="00000043" w:csb1="00000000"/>
  </w:font>
  <w:font w:name="B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613" w:rsidRDefault="000C5613" w:rsidP="00473924">
      <w:pPr>
        <w:spacing w:after="0" w:line="240" w:lineRule="auto"/>
        <w:jc w:val="right"/>
      </w:pPr>
      <w:r>
        <w:separator/>
      </w:r>
    </w:p>
  </w:footnote>
  <w:footnote w:type="continuationSeparator" w:id="0">
    <w:p w:rsidR="000C5613" w:rsidRDefault="000C5613">
      <w:pPr>
        <w:spacing w:after="0" w:line="240" w:lineRule="auto"/>
      </w:pPr>
      <w:r>
        <w:continuationSeparator/>
      </w:r>
    </w:p>
  </w:footnote>
  <w:footnote w:id="1">
    <w:p w:rsidR="007E5ED8" w:rsidRDefault="007E5ED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E5ED8">
        <w:rPr>
          <w:rFonts w:ascii="Noor_Titr" w:hAnsi="Noor_Titr" w:cs="B Badr" w:hint="cs"/>
          <w:color w:val="000000" w:themeColor="text1"/>
          <w:rtl/>
        </w:rPr>
        <w:t>ال</w:t>
      </w:r>
      <w:r w:rsidR="003500FA">
        <w:rPr>
          <w:rFonts w:ascii="Noor_Titr" w:hAnsi="Noor_Titr" w:cs="B Badr" w:hint="cs"/>
          <w:color w:val="000000" w:themeColor="text1"/>
          <w:rtl/>
        </w:rPr>
        <w:t>ک</w:t>
      </w:r>
      <w:r w:rsidRPr="007E5ED8">
        <w:rPr>
          <w:rFonts w:ascii="Noor_Titr" w:hAnsi="Noor_Titr" w:cs="B Badr" w:hint="cs"/>
          <w:color w:val="000000" w:themeColor="text1"/>
          <w:rtl/>
        </w:rPr>
        <w:t>اف</w:t>
      </w:r>
      <w:r w:rsidR="003500FA">
        <w:rPr>
          <w:rFonts w:ascii="Noor_Titr" w:hAnsi="Noor_Titr" w:cs="B Badr" w:hint="cs"/>
          <w:color w:val="000000" w:themeColor="text1"/>
          <w:rtl/>
        </w:rPr>
        <w:t>ی</w:t>
      </w:r>
      <w:r w:rsidRPr="007E5ED8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3500FA">
        <w:rPr>
          <w:rFonts w:ascii="Noor_Titr" w:hAnsi="Noor_Titr" w:cs="B Badr" w:hint="cs"/>
          <w:color w:val="000000" w:themeColor="text1"/>
          <w:rtl/>
        </w:rPr>
        <w:t>ی</w:t>
      </w:r>
      <w:r w:rsidRPr="007E5ED8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3500FA">
        <w:rPr>
          <w:rFonts w:ascii="Noor_Titr" w:hAnsi="Noor_Titr" w:cs="B Badr"/>
          <w:color w:val="000000" w:themeColor="text1"/>
          <w:rtl/>
        </w:rPr>
        <w:t>ج 7</w:t>
      </w:r>
      <w:r w:rsidRPr="007E5ED8">
        <w:rPr>
          <w:rFonts w:ascii="Noor_Titr" w:hAnsi="Noor_Titr" w:cs="B Badr" w:hint="cs"/>
          <w:color w:val="000000" w:themeColor="text1"/>
          <w:rtl/>
        </w:rPr>
        <w:t>، ص: 292</w:t>
      </w:r>
    </w:p>
  </w:footnote>
  <w:footnote w:id="2">
    <w:p w:rsidR="007E5ED8" w:rsidRDefault="007E5ED8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E5ED8">
        <w:rPr>
          <w:rFonts w:ascii="Noor_Titr" w:hAnsi="Noor_Titr" w:cs="B Badr" w:hint="cs"/>
          <w:color w:val="000000" w:themeColor="text1"/>
          <w:rtl/>
        </w:rPr>
        <w:t>مسال</w:t>
      </w:r>
      <w:r w:rsidR="003500FA">
        <w:rPr>
          <w:rFonts w:ascii="Noor_Titr" w:hAnsi="Noor_Titr" w:cs="B Badr" w:hint="cs"/>
          <w:color w:val="000000" w:themeColor="text1"/>
          <w:rtl/>
        </w:rPr>
        <w:t>ک</w:t>
      </w:r>
      <w:r w:rsidRPr="007E5ED8">
        <w:rPr>
          <w:rFonts w:ascii="Noor_Titr" w:hAnsi="Noor_Titr" w:cs="B Badr" w:hint="cs"/>
          <w:color w:val="000000" w:themeColor="text1"/>
          <w:rtl/>
        </w:rPr>
        <w:t xml:space="preserve"> الأفهام إل</w:t>
      </w:r>
      <w:r w:rsidR="003500FA">
        <w:rPr>
          <w:rFonts w:ascii="Noor_Titr" w:hAnsi="Noor_Titr" w:cs="B Badr" w:hint="cs"/>
          <w:color w:val="000000" w:themeColor="text1"/>
          <w:rtl/>
        </w:rPr>
        <w:t>ی</w:t>
      </w:r>
      <w:r w:rsidRPr="007E5ED8">
        <w:rPr>
          <w:rFonts w:ascii="Noor_Titr" w:hAnsi="Noor_Titr" w:cs="B Badr" w:hint="cs"/>
          <w:color w:val="000000" w:themeColor="text1"/>
          <w:rtl/>
        </w:rPr>
        <w:t xml:space="preserve"> تنق</w:t>
      </w:r>
      <w:r w:rsidR="003500FA">
        <w:rPr>
          <w:rFonts w:ascii="Noor_Titr" w:hAnsi="Noor_Titr" w:cs="B Badr" w:hint="cs"/>
          <w:color w:val="000000" w:themeColor="text1"/>
          <w:rtl/>
        </w:rPr>
        <w:t>ی</w:t>
      </w:r>
      <w:r w:rsidRPr="007E5ED8">
        <w:rPr>
          <w:rFonts w:ascii="Noor_Titr" w:hAnsi="Noor_Titr" w:cs="B Badr" w:hint="cs"/>
          <w:color w:val="000000" w:themeColor="text1"/>
          <w:rtl/>
        </w:rPr>
        <w:t xml:space="preserve">ح شرائع الإسلام؛ </w:t>
      </w:r>
      <w:r w:rsidR="003500FA">
        <w:rPr>
          <w:rFonts w:ascii="Noor_Titr" w:hAnsi="Noor_Titr" w:cs="B Badr"/>
          <w:color w:val="000000" w:themeColor="text1"/>
          <w:rtl/>
        </w:rPr>
        <w:t>ج 14</w:t>
      </w:r>
      <w:r w:rsidRPr="007E5ED8">
        <w:rPr>
          <w:rFonts w:ascii="Noor_Titr" w:hAnsi="Noor_Titr" w:cs="B Badr" w:hint="cs"/>
          <w:color w:val="000000" w:themeColor="text1"/>
          <w:rtl/>
        </w:rPr>
        <w:t>، ص: 474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D7D" w:rsidRPr="000C3D7D" w:rsidRDefault="00C65FF7" w:rsidP="000C3D7D">
    <w:pPr>
      <w:tabs>
        <w:tab w:val="left" w:pos="1256"/>
        <w:tab w:val="left" w:pos="5696"/>
        <w:tab w:val="right" w:pos="9071"/>
      </w:tabs>
      <w:bidi/>
      <w:spacing w:line="240" w:lineRule="auto"/>
      <w:rPr>
        <w:b/>
        <w:bCs/>
        <w:sz w:val="32"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944CB" id="Straight Connector 2" o:spid="_x0000_s1026" style="position:absolute;flip:x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5" w:name="OLE_LINK1"/>
    <w:bookmarkStart w:id="16" w:name="OLE_LINK2"/>
    <w:r>
      <w:rPr>
        <w:noProof/>
      </w:rPr>
      <w:drawing>
        <wp:inline distT="0" distB="0" distL="0" distR="0" wp14:anchorId="6264E6A2" wp14:editId="53F0AD7E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 w:rsidR="003500FA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85</w:t>
    </w:r>
    <w:r>
      <w:rPr>
        <w:rFonts w:ascii="IranNastaliq" w:hAnsi="IranNastaliq" w:cs="IranNastaliq" w:hint="cs"/>
        <w:sz w:val="40"/>
        <w:szCs w:val="40"/>
        <w:rtl/>
        <w:lang w:bidi="fa-IR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7"/>
    <w:rsid w:val="000324F1"/>
    <w:rsid w:val="00052BA3"/>
    <w:rsid w:val="0006363E"/>
    <w:rsid w:val="00080DFF"/>
    <w:rsid w:val="00085ED5"/>
    <w:rsid w:val="000A1A51"/>
    <w:rsid w:val="000C5613"/>
    <w:rsid w:val="000D2D0D"/>
    <w:rsid w:val="000F1897"/>
    <w:rsid w:val="000F7E72"/>
    <w:rsid w:val="00101E2D"/>
    <w:rsid w:val="00102CEB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B6FD0"/>
    <w:rsid w:val="001C367D"/>
    <w:rsid w:val="001D24F8"/>
    <w:rsid w:val="001E306E"/>
    <w:rsid w:val="001E3FB0"/>
    <w:rsid w:val="001E4FFF"/>
    <w:rsid w:val="001F1585"/>
    <w:rsid w:val="001F2E3E"/>
    <w:rsid w:val="001F60BB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500FA"/>
    <w:rsid w:val="00366400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37386"/>
    <w:rsid w:val="0044591E"/>
    <w:rsid w:val="004651D2"/>
    <w:rsid w:val="00465D26"/>
    <w:rsid w:val="004679F8"/>
    <w:rsid w:val="00473924"/>
    <w:rsid w:val="004B337F"/>
    <w:rsid w:val="004D7D2E"/>
    <w:rsid w:val="004F3596"/>
    <w:rsid w:val="00524FD3"/>
    <w:rsid w:val="00572E2D"/>
    <w:rsid w:val="00591ED9"/>
    <w:rsid w:val="00592103"/>
    <w:rsid w:val="005A545E"/>
    <w:rsid w:val="005A5862"/>
    <w:rsid w:val="005B0852"/>
    <w:rsid w:val="005C06AE"/>
    <w:rsid w:val="00610C18"/>
    <w:rsid w:val="0061376C"/>
    <w:rsid w:val="00636EFA"/>
    <w:rsid w:val="0069696C"/>
    <w:rsid w:val="006A085A"/>
    <w:rsid w:val="006D3A87"/>
    <w:rsid w:val="006F01B4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5ED8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34FF7"/>
    <w:rsid w:val="009613AC"/>
    <w:rsid w:val="00980643"/>
    <w:rsid w:val="009B61C3"/>
    <w:rsid w:val="009C0575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550B5"/>
    <w:rsid w:val="00A725C2"/>
    <w:rsid w:val="00A769EE"/>
    <w:rsid w:val="00A810A5"/>
    <w:rsid w:val="00A9616A"/>
    <w:rsid w:val="00A96F68"/>
    <w:rsid w:val="00AA2342"/>
    <w:rsid w:val="00AA4693"/>
    <w:rsid w:val="00AD0304"/>
    <w:rsid w:val="00AD27BE"/>
    <w:rsid w:val="00AF0F1A"/>
    <w:rsid w:val="00B15027"/>
    <w:rsid w:val="00B21CF4"/>
    <w:rsid w:val="00B24300"/>
    <w:rsid w:val="00B63F15"/>
    <w:rsid w:val="00B92405"/>
    <w:rsid w:val="00BA112D"/>
    <w:rsid w:val="00BB5F7E"/>
    <w:rsid w:val="00BD3122"/>
    <w:rsid w:val="00BD40DA"/>
    <w:rsid w:val="00C160AF"/>
    <w:rsid w:val="00C22299"/>
    <w:rsid w:val="00C25609"/>
    <w:rsid w:val="00C26607"/>
    <w:rsid w:val="00C60D75"/>
    <w:rsid w:val="00C64CEA"/>
    <w:rsid w:val="00C65FF7"/>
    <w:rsid w:val="00C73012"/>
    <w:rsid w:val="00C763DD"/>
    <w:rsid w:val="00C84FC0"/>
    <w:rsid w:val="00C9244A"/>
    <w:rsid w:val="00C929DB"/>
    <w:rsid w:val="00CB5C9E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3B42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F8D7C7A-B28D-4B2F-9F01-E1EEA34A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C65F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table" w:styleId="TableGrid">
    <w:name w:val="Table Grid"/>
    <w:basedOn w:val="TableNormal"/>
    <w:uiPriority w:val="59"/>
    <w:rsid w:val="00C65FF7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F7"/>
    <w:rPr>
      <w:rFonts w:ascii="Tahoma" w:eastAsiaTheme="minorHAnsi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semiHidden/>
    <w:unhideWhenUsed/>
    <w:rsid w:val="007E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7E5ED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0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0FA"/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50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0FA"/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473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3C6C3-2609-4B1D-9A6A-BB87DC8A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313</cp:lastModifiedBy>
  <cp:revision>5</cp:revision>
  <dcterms:created xsi:type="dcterms:W3CDTF">2015-10-15T01:15:00Z</dcterms:created>
  <dcterms:modified xsi:type="dcterms:W3CDTF">2015-10-15T01:15:00Z</dcterms:modified>
</cp:coreProperties>
</file>