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6D" w:rsidRDefault="00A10BF9" w:rsidP="0035376D">
      <w:pPr>
        <w:bidi/>
        <w:spacing w:line="360" w:lineRule="auto"/>
        <w:jc w:val="both"/>
        <w:rPr>
          <w:noProof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35376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5376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5376D">
        <w:rPr>
          <w:rFonts w:ascii="IRBadr" w:hAnsi="IRBadr" w:cs="IRBadr"/>
          <w:sz w:val="28"/>
          <w:szCs w:val="28"/>
          <w:lang w:bidi="fa-IR"/>
        </w:rPr>
        <w:instrText>TOC</w:instrText>
      </w:r>
      <w:r w:rsidR="0035376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5376D">
        <w:rPr>
          <w:rFonts w:ascii="IRBadr" w:hAnsi="IRBadr" w:cs="IRBadr"/>
          <w:sz w:val="28"/>
          <w:szCs w:val="28"/>
          <w:lang w:bidi="fa-IR"/>
        </w:rPr>
        <w:instrText>o \h \z \u</w:instrText>
      </w:r>
      <w:r w:rsidR="0035376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5376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1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سرقت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صب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2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مقدمات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3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مقدمه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: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تصرف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اموال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د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گران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4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احکام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مترتبه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بر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5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تنق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ح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محل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6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سرقت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قرآن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کر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7" w:history="1">
        <w:r w:rsidRPr="00803D60">
          <w:rPr>
            <w:rStyle w:val="Hyperlink"/>
            <w:rFonts w:ascii="IRBadr" w:eastAsiaTheme="minorHAnsi" w:hAnsi="IRBadr" w:cs="IRBadr"/>
            <w:noProof/>
            <w:rtl/>
          </w:rPr>
          <w:t>.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تحر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مات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عقلا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8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شروط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79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اقوال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درحد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صب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0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1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منابع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2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3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سرقت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صب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4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5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6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7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8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پنجم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9689" w:history="1">
        <w:r w:rsidRPr="00803D6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03D60">
          <w:rPr>
            <w:rStyle w:val="Hyperlink"/>
            <w:rFonts w:ascii="IRBadr" w:hAnsi="IRBadr" w:cs="IRBadr" w:hint="cs"/>
            <w:noProof/>
            <w:rtl/>
          </w:rPr>
          <w:t>ی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03D6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03D60">
          <w:rPr>
            <w:rStyle w:val="Hyperlink"/>
            <w:rFonts w:ascii="IRBadr" w:hAnsi="IRBadr" w:cs="IRBadr" w:hint="eastAsia"/>
            <w:noProof/>
            <w:rtl/>
          </w:rPr>
          <w:t>ششم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376D" w:rsidRDefault="0035376D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5376D" w:rsidRDefault="0035376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9B4A89" w:rsidRPr="0035376D" w:rsidRDefault="00411380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9671"/>
      <w:r w:rsidRPr="0035376D">
        <w:rPr>
          <w:rFonts w:ascii="IRBadr" w:hAnsi="IRBadr" w:cs="IRBadr"/>
          <w:rtl/>
        </w:rPr>
        <w:t>سرقت صبی</w:t>
      </w:r>
      <w:bookmarkEnd w:id="1"/>
    </w:p>
    <w:p w:rsidR="00411380" w:rsidRPr="0035376D" w:rsidRDefault="00411380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در سرقت صبی روایاتی است که در برخی از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امام فرموده است که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اجرای حد در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صبی امری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 که غیر از من و پیغمبر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خدا (ص)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کسی انجام نداده است.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مصنف کتاب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می‌فرماید آنچه مناسب‌تر است، همان است که ما ذکر کردیم و آن قول اول است که چیزی بر صبی ثابت نیست.</w:t>
      </w:r>
    </w:p>
    <w:p w:rsidR="00411380" w:rsidRPr="0035376D" w:rsidRDefault="00411380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9672"/>
      <w:r w:rsidRPr="0035376D">
        <w:rPr>
          <w:rFonts w:ascii="IRBadr" w:hAnsi="IRBadr" w:cs="IRBadr"/>
          <w:rtl/>
        </w:rPr>
        <w:t>مقدمات بحث</w:t>
      </w:r>
      <w:bookmarkEnd w:id="2"/>
    </w:p>
    <w:p w:rsidR="00411380" w:rsidRPr="0035376D" w:rsidRDefault="00411380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لازم است قبل از ورود بحث مقدماتی ذکر شود؛</w:t>
      </w:r>
    </w:p>
    <w:p w:rsidR="00411380" w:rsidRPr="0035376D" w:rsidRDefault="00411380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609673"/>
      <w:r w:rsidRPr="0035376D">
        <w:rPr>
          <w:rFonts w:ascii="IRBadr" w:hAnsi="IRBadr" w:cs="IRBadr"/>
          <w:rtl/>
        </w:rPr>
        <w:lastRenderedPageBreak/>
        <w:t>مقدمه اول:</w:t>
      </w:r>
      <w:r w:rsidR="00A10BF9" w:rsidRPr="0035376D">
        <w:rPr>
          <w:rFonts w:ascii="IRBadr" w:hAnsi="IRBadr" w:cs="IRBadr"/>
          <w:rtl/>
        </w:rPr>
        <w:t xml:space="preserve"> تصرف</w:t>
      </w:r>
      <w:r w:rsidRPr="0035376D">
        <w:rPr>
          <w:rFonts w:ascii="IRBadr" w:hAnsi="IRBadr" w:cs="IRBadr"/>
          <w:rtl/>
        </w:rPr>
        <w:t xml:space="preserve"> در اموال دیگران</w:t>
      </w:r>
      <w:bookmarkEnd w:id="3"/>
    </w:p>
    <w:p w:rsidR="00411380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مقدمه اول این است که دزدی قبح عقلی دارد و در شرع هم از محرمات کبیره است. البته </w:t>
      </w:r>
      <w:r w:rsidR="00411380" w:rsidRPr="0035376D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مفهوم سرقت با مفهوم غصب تفاوت وجود دارد و به نحوی عموم خصوص مطلق است. غصب و تصرف در مال غیره بدون رضایت اوست.</w:t>
      </w:r>
      <w:r w:rsidR="00411380" w:rsidRPr="0035376D">
        <w:rPr>
          <w:rFonts w:ascii="IRBadr" w:hAnsi="IRBadr" w:cs="IRBadr"/>
          <w:sz w:val="28"/>
          <w:szCs w:val="28"/>
          <w:rtl/>
          <w:lang w:bidi="fa-IR"/>
        </w:rPr>
        <w:t xml:space="preserve"> که تصرف بدون اذن صاحب آن حرام خواهد بود چون؛</w:t>
      </w:r>
    </w:p>
    <w:p w:rsidR="00481FDA" w:rsidRPr="0035376D" w:rsidRDefault="00481FDA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«الناس مسلطون عل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أموالهم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8739F2" w:rsidRPr="0035376D" w:rsidRDefault="008739F2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تصرف در آن مال ضمان آور خواهد بود و غصب نامیده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سرقت امری فراتر است که مال فردی را بردارد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به‌نحوی‌که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از او سلب اختیار شود،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این نوع از تصرف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معمولاً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آن‌طرف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جاهل نسبت به این اخذ بوده و این عمل با غفلت و فریب همراه است.</w:t>
      </w:r>
    </w:p>
    <w:p w:rsidR="008739F2" w:rsidRPr="0035376D" w:rsidRDefault="008739F2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4" w:name="_Toc432609674"/>
      <w:r w:rsidRPr="0035376D">
        <w:rPr>
          <w:rFonts w:ascii="IRBadr" w:hAnsi="IRBadr" w:cs="IRBadr"/>
          <w:rtl/>
        </w:rPr>
        <w:t>احکام مترتبه بر سرقت</w:t>
      </w:r>
      <w:bookmarkEnd w:id="4"/>
    </w:p>
    <w:p w:rsidR="008739F2" w:rsidRPr="0035376D" w:rsidRDefault="008739F2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به دنبال تحقق سرقت چند حکم نیز تنجز پیدا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؛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حیث تکلیفی این فعل حرام است،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ازلحاظ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وضعی ضمان آور است و باید مال را به صاحب خود رد کند و در مرحله سوم حد یا تعزیر ثابت خواهد بود.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با شرایطی که بیان خواهد شد حد ثابت خواهد شد و الا حد ثبوتی نخواهد داشت.</w:t>
      </w:r>
    </w:p>
    <w:p w:rsidR="0059236C" w:rsidRPr="0035376D" w:rsidRDefault="0059236C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5" w:name="_Toc432609675"/>
      <w:r w:rsidRPr="0035376D">
        <w:rPr>
          <w:rFonts w:ascii="IRBadr" w:hAnsi="IRBadr" w:cs="IRBadr"/>
          <w:rtl/>
        </w:rPr>
        <w:t>تنقیح محل بحث</w:t>
      </w:r>
      <w:bookmarkEnd w:id="5"/>
    </w:p>
    <w:p w:rsidR="0059236C" w:rsidRPr="0035376D" w:rsidRDefault="00A10BF9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8739F2" w:rsidRPr="0035376D">
        <w:rPr>
          <w:rFonts w:ascii="IRBadr" w:hAnsi="IRBadr" w:cs="IRBadr"/>
          <w:sz w:val="28"/>
          <w:szCs w:val="28"/>
          <w:rtl/>
          <w:lang w:bidi="fa-IR"/>
        </w:rPr>
        <w:t xml:space="preserve"> در اینجا بحث خواهد شد جهات اول و دوم نخواهد بود بلکه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739F2" w:rsidRPr="0035376D">
        <w:rPr>
          <w:rFonts w:ascii="IRBadr" w:hAnsi="IRBadr" w:cs="IRBadr"/>
          <w:sz w:val="28"/>
          <w:szCs w:val="28"/>
          <w:rtl/>
          <w:lang w:bidi="fa-IR"/>
        </w:rPr>
        <w:t xml:space="preserve"> در جای خود یعنی کتاب غصب و ...بحث خواهد شد، پس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8739F2" w:rsidRPr="0035376D">
        <w:rPr>
          <w:rFonts w:ascii="IRBadr" w:hAnsi="IRBadr" w:cs="IRBadr"/>
          <w:sz w:val="28"/>
          <w:szCs w:val="28"/>
          <w:rtl/>
          <w:lang w:bidi="fa-IR"/>
        </w:rPr>
        <w:t xml:space="preserve"> موضوع بحث جهت سوم یعنی حد یا </w:t>
      </w:r>
      <w:r w:rsidR="008739F2"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>تعزیر در سرقت است.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59236C" w:rsidRPr="0035376D">
        <w:rPr>
          <w:rFonts w:ascii="IRBadr" w:hAnsi="IRBadr" w:cs="IRBadr"/>
          <w:sz w:val="28"/>
          <w:szCs w:val="28"/>
          <w:rtl/>
          <w:lang w:bidi="fa-IR"/>
        </w:rPr>
        <w:t xml:space="preserve"> حد در سرقت حد ثابت است امری است که مورد اتفاق فقهاست،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اما در تفاصیل و شرایط آن بین عامه و خاصه اختلافاتی وجود دارد،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در میان طایفه امامیه اختلافاتی وجود دارد که در فروع و احکامی که در آینده متعرض خواهیم شد، روشن خواهد شد.</w:t>
      </w:r>
    </w:p>
    <w:p w:rsidR="0059236C" w:rsidRPr="0035376D" w:rsidRDefault="0059236C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6" w:name="_Toc432609676"/>
      <w:r w:rsidRPr="0035376D">
        <w:rPr>
          <w:rFonts w:ascii="IRBadr" w:hAnsi="IRBadr" w:cs="IRBadr"/>
          <w:rtl/>
        </w:rPr>
        <w:t>حد سرقت در قرآن کریم</w:t>
      </w:r>
      <w:bookmarkEnd w:id="6"/>
    </w:p>
    <w:p w:rsidR="0059236C" w:rsidRPr="0035376D" w:rsidRDefault="0059236C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نکته دیگر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این است که حد سرقت منشأ قرآنی هم دارد، برخلاف بعضی حدود دیگر که در قرآن از آن نام و نشانی نیست و روایات بر آن تأکید کرده است، مثلاً رجم یا شرب مسکر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حرمت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و نهی آن در قرآن هست و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لی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حدش در قرآن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ذکر خواهد شد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>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از این حدود به نحو تمام حد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و در برخی موارد برخی از حدود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زنا که اصل آن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 اما به تمام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>حد پرداخته نشده است.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سرقت از مواردی است که قرآن کریم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کامل به آن پرداخت است.</w:t>
      </w:r>
    </w:p>
    <w:p w:rsidR="00481FDA" w:rsidRPr="0035376D" w:rsidRDefault="0059236C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منشأ آن این آیه شریفه است که؛</w:t>
      </w:r>
    </w:p>
    <w:p w:rsidR="00481FDA" w:rsidRPr="0035376D" w:rsidRDefault="00481FDA" w:rsidP="0035376D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35376D">
        <w:rPr>
          <w:rFonts w:ascii="IRBadr" w:hAnsi="IRBadr" w:cs="IRBadr"/>
          <w:b/>
          <w:bCs/>
          <w:szCs w:val="28"/>
          <w:rtl/>
          <w:lang w:bidi="fa-IR"/>
        </w:rPr>
        <w:t>وَ السَّارِقُ وَ السَّارِقَةُ فَاقْطَعُوا أَ</w:t>
      </w:r>
      <w:r w:rsidR="00A10BF9" w:rsidRPr="0035376D">
        <w:rPr>
          <w:rFonts w:ascii="IRBadr" w:hAnsi="IRBadr" w:cs="IRBadr"/>
          <w:b/>
          <w:bCs/>
          <w:szCs w:val="28"/>
          <w:rtl/>
          <w:lang w:bidi="fa-IR"/>
        </w:rPr>
        <w:t>ی</w:t>
      </w:r>
      <w:r w:rsidRPr="0035376D">
        <w:rPr>
          <w:rFonts w:ascii="IRBadr" w:hAnsi="IRBadr" w:cs="IRBadr"/>
          <w:b/>
          <w:bCs/>
          <w:szCs w:val="28"/>
          <w:rtl/>
          <w:lang w:bidi="fa-IR"/>
        </w:rPr>
        <w:t>دِ</w:t>
      </w:r>
      <w:r w:rsidR="00A10BF9" w:rsidRPr="0035376D">
        <w:rPr>
          <w:rFonts w:ascii="IRBadr" w:hAnsi="IRBadr" w:cs="IRBadr"/>
          <w:b/>
          <w:bCs/>
          <w:szCs w:val="28"/>
          <w:rtl/>
          <w:lang w:bidi="fa-IR"/>
        </w:rPr>
        <w:t>ی</w:t>
      </w:r>
      <w:r w:rsidRPr="0035376D">
        <w:rPr>
          <w:rFonts w:ascii="IRBadr" w:hAnsi="IRBadr" w:cs="IRBadr"/>
          <w:b/>
          <w:bCs/>
          <w:szCs w:val="28"/>
          <w:rtl/>
          <w:lang w:bidi="fa-IR"/>
        </w:rPr>
        <w:t xml:space="preserve">هُما جَزاءً بِما </w:t>
      </w:r>
      <w:r w:rsidR="00A10BF9" w:rsidRPr="0035376D">
        <w:rPr>
          <w:rFonts w:ascii="IRBadr" w:hAnsi="IRBadr" w:cs="IRBadr"/>
          <w:b/>
          <w:bCs/>
          <w:szCs w:val="28"/>
          <w:rtl/>
          <w:lang w:bidi="fa-IR"/>
        </w:rPr>
        <w:t>ک</w:t>
      </w:r>
      <w:r w:rsidRPr="0035376D">
        <w:rPr>
          <w:rFonts w:ascii="IRBadr" w:hAnsi="IRBadr" w:cs="IRBadr"/>
          <w:b/>
          <w:bCs/>
          <w:szCs w:val="28"/>
          <w:rtl/>
          <w:lang w:bidi="fa-IR"/>
        </w:rPr>
        <w:t>سَبا نَ</w:t>
      </w:r>
      <w:r w:rsidR="00A10BF9" w:rsidRPr="0035376D">
        <w:rPr>
          <w:rFonts w:ascii="IRBadr" w:hAnsi="IRBadr" w:cs="IRBadr"/>
          <w:b/>
          <w:bCs/>
          <w:szCs w:val="28"/>
          <w:rtl/>
          <w:lang w:bidi="fa-IR"/>
        </w:rPr>
        <w:t>ک</w:t>
      </w:r>
      <w:r w:rsidRPr="0035376D">
        <w:rPr>
          <w:rFonts w:ascii="IRBadr" w:hAnsi="IRBadr" w:cs="IRBadr"/>
          <w:b/>
          <w:bCs/>
          <w:szCs w:val="28"/>
          <w:rtl/>
          <w:lang w:bidi="fa-IR"/>
        </w:rPr>
        <w:t>الًا مِنَ اللَّهِ وَ اللَّهُ عَزِ</w:t>
      </w:r>
      <w:r w:rsidR="00A10BF9" w:rsidRPr="0035376D">
        <w:rPr>
          <w:rFonts w:ascii="IRBadr" w:hAnsi="IRBadr" w:cs="IRBadr"/>
          <w:b/>
          <w:bCs/>
          <w:szCs w:val="28"/>
          <w:rtl/>
          <w:lang w:bidi="fa-IR"/>
        </w:rPr>
        <w:t>ی</w:t>
      </w:r>
      <w:r w:rsidRPr="0035376D">
        <w:rPr>
          <w:rFonts w:ascii="IRBadr" w:hAnsi="IRBadr" w:cs="IRBadr"/>
          <w:b/>
          <w:bCs/>
          <w:szCs w:val="28"/>
          <w:rtl/>
          <w:lang w:bidi="fa-IR"/>
        </w:rPr>
        <w:t xml:space="preserve">زٌ </w:t>
      </w:r>
      <w:r w:rsidR="00A10BF9" w:rsidRPr="0035376D">
        <w:rPr>
          <w:rFonts w:ascii="IRBadr" w:hAnsi="IRBadr" w:cs="IRBadr"/>
          <w:b/>
          <w:bCs/>
          <w:szCs w:val="28"/>
          <w:rtl/>
          <w:lang w:bidi="fa-IR"/>
        </w:rPr>
        <w:t>حَکیمٌ</w:t>
      </w:r>
      <w:r w:rsidRPr="0035376D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35376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362DB3" w:rsidRPr="0035376D" w:rsidRDefault="00481FDA" w:rsidP="0035376D">
      <w:pPr>
        <w:pStyle w:val="Heading1"/>
        <w:spacing w:line="360" w:lineRule="auto"/>
        <w:rPr>
          <w:rFonts w:ascii="IRBadr" w:hAnsi="IRBadr" w:cs="IRBadr"/>
          <w:rtl/>
        </w:rPr>
      </w:pPr>
      <w:bookmarkStart w:id="7" w:name="_Toc432609677"/>
      <w:r w:rsidRPr="0035376D">
        <w:rPr>
          <w:rFonts w:ascii="IRBadr" w:eastAsiaTheme="minorHAnsi" w:hAnsi="IRBadr" w:cs="IRBadr"/>
          <w:bCs w:val="0"/>
          <w:szCs w:val="28"/>
          <w:rtl/>
        </w:rPr>
        <w:t>.</w:t>
      </w:r>
      <w:r w:rsidR="00A10BF9" w:rsidRPr="0035376D">
        <w:rPr>
          <w:rFonts w:ascii="IRBadr" w:hAnsi="IRBadr" w:cs="IRBadr"/>
          <w:rtl/>
        </w:rPr>
        <w:t xml:space="preserve"> تحریمات</w:t>
      </w:r>
      <w:r w:rsidR="00362DB3" w:rsidRPr="0035376D">
        <w:rPr>
          <w:rFonts w:ascii="IRBadr" w:hAnsi="IRBadr" w:cs="IRBadr"/>
          <w:rtl/>
        </w:rPr>
        <w:t xml:space="preserve"> عقلایی</w:t>
      </w:r>
      <w:bookmarkEnd w:id="7"/>
    </w:p>
    <w:p w:rsidR="00362DB3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لذا اصل این حکم از ضرو</w:t>
      </w:r>
      <w:r w:rsidR="0059236C" w:rsidRPr="0035376D">
        <w:rPr>
          <w:rFonts w:ascii="IRBadr" w:hAnsi="IRBadr" w:cs="IRBadr"/>
          <w:sz w:val="28"/>
          <w:szCs w:val="28"/>
          <w:rtl/>
          <w:lang w:bidi="fa-IR"/>
        </w:rPr>
        <w:t xml:space="preserve">ریات است و دارای منشأ قرآنی است.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نکته دیگر این است که سرقت از آن محرماتی است که عقلایی 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هست. یعنی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عقلانیت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واقعی دارد. بعضی از محرمات است که به نحوی در شرع بر آن تأکیدی شده است، جنبه عقلایی در آن خیلی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قوی نیست 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 xml:space="preserve">همانند ارتداد،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در این زمان‌ها که خیلی به آن توجه نمی‌شود. اما سرقت از آن محرمات و امور قبیحه ای است که عند جمیع عقلا قبیح است و هیچ تفاوت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>ی میان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ادیان و مذاهب و سلیقه‌ها در این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 xml:space="preserve"> حکم نیست.</w:t>
      </w:r>
    </w:p>
    <w:p w:rsidR="00362DB3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البته در 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>میزان این جریمه و مواخذه و عقاب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تفاوت 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>بسیار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زیاد است.</w:t>
      </w:r>
    </w:p>
    <w:p w:rsidR="00362DB3" w:rsidRPr="0035376D" w:rsidRDefault="00362DB3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9678"/>
      <w:r w:rsidRPr="0035376D">
        <w:rPr>
          <w:rFonts w:ascii="IRBadr" w:hAnsi="IRBadr" w:cs="IRBadr"/>
          <w:rtl/>
        </w:rPr>
        <w:t>شروط حد سرقت</w:t>
      </w:r>
      <w:bookmarkEnd w:id="8"/>
    </w:p>
    <w:p w:rsidR="00362DB3" w:rsidRPr="0035376D" w:rsidRDefault="00362DB3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برای ثبوت حد سرقت نیاز به اجتماع شرایطی است که برخی از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از شروط عامه است همانند؛</w:t>
      </w:r>
    </w:p>
    <w:p w:rsidR="00362DB3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بلوغ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عقل و اختیار جزء شرایط عامه هم تکلیف است،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 xml:space="preserve"> بلوغ در روایات متعددی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 که از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62DB3" w:rsidRPr="0035376D">
        <w:rPr>
          <w:rFonts w:ascii="IRBadr" w:hAnsi="IRBadr" w:cs="IRBadr"/>
          <w:sz w:val="28"/>
          <w:szCs w:val="28"/>
          <w:rtl/>
          <w:lang w:bidi="fa-IR"/>
        </w:rPr>
        <w:t xml:space="preserve"> دلیل رفع قلم است.</w:t>
      </w:r>
    </w:p>
    <w:p w:rsidR="00362DB3" w:rsidRPr="0035376D" w:rsidRDefault="00362DB3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609679"/>
      <w:r w:rsidRPr="0035376D">
        <w:rPr>
          <w:rFonts w:ascii="IRBadr" w:hAnsi="IRBadr" w:cs="IRBadr"/>
          <w:rtl/>
        </w:rPr>
        <w:lastRenderedPageBreak/>
        <w:t>اقوال درحد صبی</w:t>
      </w:r>
      <w:bookmarkEnd w:id="9"/>
    </w:p>
    <w:p w:rsidR="00362DB3" w:rsidRPr="0035376D" w:rsidRDefault="00362DB3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در قبال حد صبی دو قول وجود دارد،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اول که برخی همانند امام در تحریر،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محقق در شرایع و آقای فاضل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پذیرفته‌اند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این قائل است که؛ سارق صبی مورد تعزیر قرار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تعزیر نیز به نظر حاکم است.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مقدار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سرقت شده،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وضعیت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سرقت،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سن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سارق و ...از عواملی است که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در کیفیت و کمیت 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>تعزیر از جانب حاکم تأثیر داشته باشد.</w:t>
      </w:r>
    </w:p>
    <w:p w:rsidR="00362DB3" w:rsidRPr="0035376D" w:rsidRDefault="006A2F1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برخی مصادیقی را برای تعزیر صبی همانند شلاق ذکر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برای تعزیر او حدی مقرره وجود ندارد.</w:t>
      </w:r>
    </w:p>
    <w:p w:rsidR="006A2F16" w:rsidRPr="0035376D" w:rsidRDefault="006A2F1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609680"/>
      <w:r w:rsidRPr="0035376D">
        <w:rPr>
          <w:rFonts w:ascii="IRBadr" w:hAnsi="IRBadr" w:cs="IRBadr"/>
          <w:rtl/>
        </w:rPr>
        <w:t>قول دوم</w:t>
      </w:r>
      <w:bookmarkEnd w:id="10"/>
    </w:p>
    <w:p w:rsidR="006A2F16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قول دومی که در متن تحریر آمده است این است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اولین باری که سرقت می‌کند مورد عفو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>قرار می‌گی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رد. اگر دوباره انجام داد،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دوم او را تعزیر می‌کنند. تعزیر به همان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اندازه‌ای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 که در شرع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مقررشده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که شلاق کمتر از حد چهل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ضربه باشد.</w:t>
      </w:r>
    </w:p>
    <w:p w:rsidR="006A2F16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اگر بار سوم شد، دستش را ناخن‌هایش می‌سایند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خونی بشود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>.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اگر بار چهارم شد، قسمتی از انگشت در حد مفصل اول قطع می‌کنند، بار پنجم اگر سرقت کرد،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مثل بالغ دستش را قطع می‌کنند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>.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این هم قول دومی است که مرحوم شیخ در نهایه این را پذیرفته است و علامه هم در مختلف این قول را انتخاب کرده است.</w:t>
      </w:r>
    </w:p>
    <w:p w:rsidR="006A2F16" w:rsidRPr="0035376D" w:rsidRDefault="006A2F1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1" w:name="_Toc432609681"/>
      <w:r w:rsidRPr="0035376D">
        <w:rPr>
          <w:rFonts w:ascii="IRBadr" w:hAnsi="IRBadr" w:cs="IRBadr"/>
          <w:rtl/>
        </w:rPr>
        <w:t>منابع بحث</w:t>
      </w:r>
      <w:bookmarkEnd w:id="11"/>
    </w:p>
    <w:p w:rsidR="006A2F16" w:rsidRPr="0035376D" w:rsidRDefault="00A10BF9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منابعی که در طی بحث از آن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استفاده‌شده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موارد است که؛</w:t>
      </w:r>
    </w:p>
    <w:p w:rsidR="006A2F16" w:rsidRPr="0035376D" w:rsidRDefault="006A2F1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جواهر بحث سرقت، جلد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، صفحه چهارصد و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هفتادوپنج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ـ مبانی تکمله آقای خویی، جلد یک، صفحه دویست و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هفتادونه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ـ اسس الحدود آقای تبریزی حفظه الله، صفحه سیصد و نه ـ فقه الصادق جلد بیست و پنجم، صفحه چهارصد و نود ـ جواهر یا تفصیل الشریعه صفحه چهارصد و نود و کتب دیگری مانند ریاض و شرایع و ...</w:t>
      </w:r>
    </w:p>
    <w:p w:rsidR="006A2F16" w:rsidRPr="0035376D" w:rsidRDefault="006A2F1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2" w:name="_Toc432609682"/>
      <w:r w:rsidRPr="0035376D">
        <w:rPr>
          <w:rFonts w:ascii="IRBadr" w:hAnsi="IRBadr" w:cs="IRBadr"/>
          <w:rtl/>
        </w:rPr>
        <w:t>قول سوم</w:t>
      </w:r>
      <w:bookmarkEnd w:id="12"/>
    </w:p>
    <w:p w:rsidR="006A2F16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قول سومی هم وجود دارد که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آقای خویی بدان قائل شده است که؛</w:t>
      </w:r>
    </w:p>
    <w:p w:rsidR="00985595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بار اول و دوم او را عفو می‌کنند.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سوم حاکم بین چهار چیز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مخیر است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. چند 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>شلاق بزند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یا ای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نکه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سرانگشتش</w:t>
      </w:r>
      <w:r w:rsidR="006A2F16" w:rsidRPr="0035376D">
        <w:rPr>
          <w:rFonts w:ascii="IRBadr" w:hAnsi="IRBadr" w:cs="IRBadr"/>
          <w:sz w:val="28"/>
          <w:szCs w:val="28"/>
          <w:rtl/>
          <w:lang w:bidi="fa-IR"/>
        </w:rPr>
        <w:t xml:space="preserve"> مفصل اولش را قطع کنند یا اینکه کمی گوشت او را ببرند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یا اینکه بسایند او را که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خون‌آلود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بشود. اگر صبی ممیز از هفت سال به بالا است، یکی از این چهار امر را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سوم انجام می‌دهد.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5595" w:rsidRPr="0035376D">
        <w:rPr>
          <w:rFonts w:ascii="IRBadr" w:hAnsi="IRBadr" w:cs="IRBadr"/>
          <w:sz w:val="28"/>
          <w:szCs w:val="28"/>
          <w:rtl/>
          <w:lang w:bidi="fa-IR"/>
        </w:rPr>
        <w:t>اگر باز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تکرار کرد، از مفصل دوم می‌برند. بار پنجم</w:t>
      </w:r>
      <w:r w:rsidR="00985595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چهار انگشتش را مثل </w:t>
      </w:r>
      <w:r w:rsidR="00985595" w:rsidRPr="0035376D">
        <w:rPr>
          <w:rFonts w:ascii="IRBadr" w:hAnsi="IRBadr" w:cs="IRBadr"/>
          <w:sz w:val="28"/>
          <w:szCs w:val="28"/>
          <w:rtl/>
          <w:lang w:bidi="fa-IR"/>
        </w:rPr>
        <w:t>فرد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بالغ می‌برند.</w:t>
      </w:r>
    </w:p>
    <w:p w:rsidR="00985595" w:rsidRPr="0035376D" w:rsidRDefault="00985595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البته این قول سوم در میان فقها سابقه نداشته و امری جدید است.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ایشان در جمع بین روایات بدان قائل شدند.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دیگری نیز با اندک تفاوتی در جزئیات نسبت به این اقوال وجود دارد ولی عمده اقوال همین سه قول است.</w:t>
      </w:r>
    </w:p>
    <w:p w:rsidR="00985595" w:rsidRPr="0035376D" w:rsidRDefault="00985595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3" w:name="_Toc432609683"/>
      <w:r w:rsidRPr="0035376D">
        <w:rPr>
          <w:rFonts w:ascii="IRBadr" w:hAnsi="IRBadr" w:cs="IRBadr"/>
          <w:rtl/>
        </w:rPr>
        <w:t>مستندات سرقت صبی</w:t>
      </w:r>
      <w:bookmarkEnd w:id="13"/>
    </w:p>
    <w:p w:rsidR="00985595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در سرقت روایات متعددی </w:t>
      </w:r>
      <w:r w:rsidR="00985595" w:rsidRPr="0035376D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که باید ببینیم ما را به چه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می‌رساند. این روایات در یک باب مخصوصی در جلد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هیجده وسایل، ابواب حد سرقت، باب بیست و هشتم، صفحه پانصد و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بیست‌ودو</w:t>
      </w:r>
      <w:r w:rsidR="00985595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985595"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5595" w:rsidRPr="0035376D" w:rsidRDefault="0065264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4" w:name="_Toc432609684"/>
      <w:r w:rsidRPr="0035376D">
        <w:rPr>
          <w:rFonts w:ascii="IRBadr" w:hAnsi="IRBadr" w:cs="IRBadr"/>
          <w:rtl/>
        </w:rPr>
        <w:t>روایت اول</w:t>
      </w:r>
      <w:bookmarkEnd w:id="14"/>
    </w:p>
    <w:p w:rsidR="00985595" w:rsidRPr="0035376D" w:rsidRDefault="00985595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سند این روایت دچار ضعف است چراکه در آن محمد بن عیسی از یونس نقل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که تشریح این ضعف در مباحث پیشین گذشت.</w:t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مُحَمَّدِ بْنِ عِ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عُبَ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عَنْ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عَبْدِ اللَّهِ بْنِ سِنَانٍ قَالَ: سَأَلْتُ أَبَا عَبْدِ اللَّهِ ع عَنِ الصَّبِ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سْرِقُ قَالَ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عْفَ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عَنْهُ مَرَّةً وَ مَرَّتَ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نِ وَ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عَزَّرُ فِ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الثَّالِثَةِ فَإِنْ عَادَ قُطِعَتْ أَطْرَافُ أَصَابِعِهِ فَإِنْ عَادَ قُطِعَ أَسْفَلُ مِنْ ذَلِ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.» 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985595" w:rsidRPr="0035376D" w:rsidRDefault="00985595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سؤال کردم از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بچه دزدی می‌کند حضرت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فرمودند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تا دو بار از او بخشیده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>می‌شود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سوم تعزیر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>اگر بار چهارم شد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>اطراف اصابع که ظاهراً بند اول باشد قطع می‌شود.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>اگر بار پنجم شد،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پایین‌تر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بریده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5595" w:rsidRPr="0035376D" w:rsidRDefault="00985595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از اقوال تناسب ندارد،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فتوایی به آن داده نشده است.</w:t>
      </w:r>
    </w:p>
    <w:p w:rsidR="00985595" w:rsidRPr="0035376D" w:rsidRDefault="00985595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5" w:name="_Toc432609685"/>
      <w:r w:rsidRPr="0035376D">
        <w:rPr>
          <w:rFonts w:ascii="IRBadr" w:hAnsi="IRBadr" w:cs="IRBadr"/>
          <w:rtl/>
        </w:rPr>
        <w:t>روایت دوم</w:t>
      </w:r>
      <w:bookmarkEnd w:id="15"/>
    </w:p>
    <w:p w:rsidR="005D6A46" w:rsidRPr="0035376D" w:rsidRDefault="005D6A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سند این روایت،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مناسبی است.</w:t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حَمَّادِ بْنِ عُثْمَانَ عَنِ الْحَلَبِ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إِذَا سَرَقَ الصَّبِ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عُفِ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عَنْهُ فَإِنْ عَادَ عُزِّرَ فَإِنْ عَادَ قُطِعَ أَطْرَافُ الْأَصَابِعِ فَإِنْ 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عَادَ قُطِعَ أَسْفَلُ مِنْ ذَلِ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قَالَ أُتِ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بِغُلَامٍ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احْتِلَامِهِ فَقَطَعَ أَطْرَافَ الْأَصَابِعِ.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5D6A46" w:rsidRPr="0035376D" w:rsidRDefault="00A10BF9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می‌بخشند، اگر بار دوم شد تعزیر می‌شود. اگر بار سوم شد، </w:t>
      </w:r>
      <w:r w:rsidR="005D6A46" w:rsidRPr="0035376D">
        <w:rPr>
          <w:rFonts w:ascii="IRBadr" w:hAnsi="IRBadr" w:cs="IRBadr"/>
          <w:sz w:val="28"/>
          <w:szCs w:val="28"/>
          <w:rtl/>
          <w:lang w:bidi="fa-IR"/>
        </w:rPr>
        <w:t xml:space="preserve">اطراف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>اصابع</w:t>
      </w:r>
      <w:r w:rsidR="005D6A46" w:rsidRPr="0035376D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D6A46" w:rsidRPr="0035376D">
        <w:rPr>
          <w:rFonts w:ascii="IRBadr" w:hAnsi="IRBadr" w:cs="IRBadr"/>
          <w:sz w:val="28"/>
          <w:szCs w:val="28"/>
          <w:rtl/>
          <w:lang w:bidi="fa-IR"/>
        </w:rPr>
        <w:t xml:space="preserve"> و...</w:t>
      </w:r>
    </w:p>
    <w:p w:rsidR="005D6A46" w:rsidRPr="0035376D" w:rsidRDefault="005D6A4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6" w:name="_Toc432609686"/>
      <w:r w:rsidRPr="0035376D">
        <w:rPr>
          <w:rFonts w:ascii="IRBadr" w:hAnsi="IRBadr" w:cs="IRBadr"/>
          <w:rtl/>
        </w:rPr>
        <w:t>روایت سوم</w:t>
      </w:r>
      <w:bookmarkEnd w:id="16"/>
    </w:p>
    <w:p w:rsidR="005D6A46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روایت سوم این است که</w:t>
      </w:r>
      <w:r w:rsidR="005D6A46" w:rsidRPr="0035376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قَالَ: «أُتِ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عل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 السلام بِغُلَامٍ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احْتِلَامِهِ، فَقَطَعَ أَطْرَافَ الْأَصَابِعِ»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5D6A46" w:rsidRPr="0035376D" w:rsidRDefault="005D6A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در این روایت مراحل سابق ذکر نشده است،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در آن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است که صبی ای دزدی کرده بود و حضرت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یک‌بند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انگشت او را بریدند.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این همان مرتبه سوم یا چهارمی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>که در روایات دیگر بود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که در اینجا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به‌عنوان 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>بار اول آمده است.</w:t>
      </w:r>
    </w:p>
    <w:p w:rsidR="005D6A46" w:rsidRPr="0035376D" w:rsidRDefault="005D6A4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7" w:name="_Toc432609687"/>
      <w:r w:rsidRPr="0035376D">
        <w:rPr>
          <w:rFonts w:ascii="IRBadr" w:hAnsi="IRBadr" w:cs="IRBadr"/>
          <w:rtl/>
        </w:rPr>
        <w:t>روایت چهارم</w:t>
      </w:r>
      <w:bookmarkEnd w:id="17"/>
    </w:p>
    <w:p w:rsidR="005D6A46" w:rsidRPr="0035376D" w:rsidRDefault="005D6A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>سند این روایت کاملاً معتبر است؛</w:t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«أَبُو 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الْأَشْعَرِ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عَبْدِ الْجَبَّارِ عَنْ صَفْوَانَ عَنِ الْعَلَاءِ بْنِ رَزِ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نٍ عَنْ مُحَمَّدِ بْنِ مُسْلِمٍ عَنْ أَحَدِهِمَا ع قَالَ: سَأَلْتُهُ عَنِ الصَّبِ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سْرِقُ قَالَ إِذَا سَرَقَ مَرَّةً وَ هُوَ صَغِ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رٌ عُفِ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عَنْهُ فَإِنْ عَادَ عُفِ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عَنْهُ فَإِنْ عَادَ قُطِعَ بَنَانُهُ فَإِنْ عَادَ قُطِعَ أَسْفَلُ مِنْ ذَلِ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.» 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5D6A46" w:rsidRPr="0035376D" w:rsidRDefault="005D6A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دو بار اول بخشیده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،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اگر بار سوم شد،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سرانگشت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او بریده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.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اینجا با روایت دوم مطابق است،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و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دو بار بخشش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اولیه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با روایت اول مطابق است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.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اما اگر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>به</w:t>
      </w:r>
      <w:r w:rsidR="00652646" w:rsidRPr="0035376D">
        <w:rPr>
          <w:rFonts w:ascii="IRBadr" w:hAnsi="IRBadr" w:cs="IRBadr"/>
          <w:sz w:val="28"/>
          <w:szCs w:val="28"/>
          <w:rtl/>
          <w:lang w:bidi="fa-IR"/>
        </w:rPr>
        <w:t xml:space="preserve"> بار چهارم رسید می‌گوید دو انگشت می‌برند. که این بار چهارم، در روایت اول و دوم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بار پنجم بود.</w:t>
      </w:r>
    </w:p>
    <w:p w:rsidR="005D6A46" w:rsidRPr="0035376D" w:rsidRDefault="005D6A46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8" w:name="_Toc432609688"/>
      <w:r w:rsidRPr="0035376D">
        <w:rPr>
          <w:rFonts w:ascii="IRBadr" w:hAnsi="IRBadr" w:cs="IRBadr"/>
          <w:rtl/>
        </w:rPr>
        <w:t>روایت پنجم</w:t>
      </w:r>
      <w:bookmarkEnd w:id="18"/>
    </w:p>
    <w:p w:rsidR="00597595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روایت پنجم به اسناد همین سند </w:t>
      </w:r>
      <w:r w:rsidR="00597595" w:rsidRPr="0035376D">
        <w:rPr>
          <w:rFonts w:ascii="IRBadr" w:hAnsi="IRBadr" w:cs="IRBadr"/>
          <w:sz w:val="28"/>
          <w:szCs w:val="28"/>
          <w:rtl/>
          <w:lang w:bidi="fa-IR"/>
        </w:rPr>
        <w:t>و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معتبر است. عجیب این است که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همه</w:t>
      </w:r>
      <w:r w:rsidR="00597595" w:rsidRPr="0035376D">
        <w:rPr>
          <w:rFonts w:ascii="IRBadr" w:hAnsi="IRBadr" w:cs="IRBadr"/>
          <w:sz w:val="28"/>
          <w:szCs w:val="28"/>
          <w:rtl/>
          <w:lang w:bidi="fa-IR"/>
        </w:rPr>
        <w:t xml:space="preserve"> افراد در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>این روایت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معتبر است، </w:t>
      </w:r>
      <w:r w:rsidR="00A10BF9" w:rsidRPr="0035376D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اختلافاتی </w:t>
      </w:r>
      <w:r w:rsidR="00597595" w:rsidRPr="0035376D">
        <w:rPr>
          <w:rFonts w:ascii="IRBadr" w:hAnsi="IRBadr" w:cs="IRBadr"/>
          <w:sz w:val="28"/>
          <w:szCs w:val="28"/>
          <w:rtl/>
          <w:lang w:bidi="fa-IR"/>
        </w:rPr>
        <w:t>که دارند؛</w:t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«عَنْهُ عَنْ صَفْوَانَ عَنْ إِسْحَاقَ بْنِ عَمَّارٍ قَالَ: قُلْتُ لِأَبِ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إِبْرَاهِ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 الصِّبْ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انُ إِذَا أُتِ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بِهِمْ 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قَطَعَ أَنَامِلَهُمْ مِنْ أَ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قَطَعَ فَقَالَ مِنَ الْمَفْصِلِ مَفْصِلِ الْأَنَامِلِ.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</w:p>
    <w:p w:rsidR="00597595" w:rsidRPr="0035376D" w:rsidRDefault="00652646" w:rsidP="00353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5376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این هم </w:t>
      </w:r>
      <w:r w:rsidR="00597595" w:rsidRPr="0035376D">
        <w:rPr>
          <w:rFonts w:ascii="IRBadr" w:hAnsi="IRBadr" w:cs="IRBadr"/>
          <w:sz w:val="28"/>
          <w:szCs w:val="28"/>
          <w:rtl/>
          <w:lang w:bidi="fa-IR"/>
        </w:rPr>
        <w:t>با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روایت سوم و پنجم یک مضمون دارد یعنی ترتیب بار اول و دوم</w:t>
      </w:r>
      <w:r w:rsidR="00597595" w:rsidRPr="0035376D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35376D">
        <w:rPr>
          <w:rFonts w:ascii="IRBadr" w:hAnsi="IRBadr" w:cs="IRBadr"/>
          <w:sz w:val="28"/>
          <w:szCs w:val="28"/>
          <w:rtl/>
          <w:lang w:bidi="fa-IR"/>
        </w:rPr>
        <w:t xml:space="preserve"> ندارد و از اول می‌گوید مفصل اول را قطع می‌کنند.</w:t>
      </w:r>
    </w:p>
    <w:p w:rsidR="00597595" w:rsidRPr="0035376D" w:rsidRDefault="00597595" w:rsidP="0035376D">
      <w:pPr>
        <w:pStyle w:val="Heading2"/>
        <w:spacing w:line="360" w:lineRule="auto"/>
        <w:rPr>
          <w:rFonts w:ascii="IRBadr" w:hAnsi="IRBadr" w:cs="IRBadr"/>
          <w:rtl/>
        </w:rPr>
      </w:pPr>
      <w:bookmarkStart w:id="19" w:name="_Toc432609689"/>
      <w:r w:rsidRPr="0035376D">
        <w:rPr>
          <w:rFonts w:ascii="IRBadr" w:hAnsi="IRBadr" w:cs="IRBadr"/>
          <w:rtl/>
        </w:rPr>
        <w:t>روایت ششم</w:t>
      </w:r>
      <w:bookmarkEnd w:id="19"/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النَّوْفَلِ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السَّ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أُتِ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بِجَارِ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ةٍ لَمْ تَحِضْ قَدْ سَرَقَتْ فَضَرَبَهَا أَسْوَاطاً وَ لَمْ 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قْطَعْهَا.</w:t>
      </w:r>
      <w:r w:rsidR="00A10BF9" w:rsidRPr="0035376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3537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</w:p>
    <w:p w:rsidR="005A2078" w:rsidRPr="0035376D" w:rsidRDefault="005A2078" w:rsidP="0035376D">
      <w:pPr>
        <w:pStyle w:val="NormalWeb"/>
        <w:bidi/>
        <w:spacing w:line="360" w:lineRule="auto"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152670" w:rsidRPr="0035376D" w:rsidRDefault="00152670" w:rsidP="0035376D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35376D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7F" w:rsidRDefault="00BF707F" w:rsidP="000D5800">
      <w:pPr>
        <w:spacing w:after="0" w:line="240" w:lineRule="auto"/>
      </w:pPr>
      <w:r>
        <w:separator/>
      </w:r>
    </w:p>
  </w:endnote>
  <w:endnote w:type="continuationSeparator" w:id="0">
    <w:p w:rsidR="00BF707F" w:rsidRDefault="00BF707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7F" w:rsidRDefault="00BF707F" w:rsidP="0035376D">
      <w:pPr>
        <w:spacing w:after="0" w:line="240" w:lineRule="auto"/>
        <w:jc w:val="right"/>
      </w:pPr>
      <w:r>
        <w:separator/>
      </w:r>
    </w:p>
  </w:footnote>
  <w:footnote w:type="continuationSeparator" w:id="0">
    <w:p w:rsidR="00BF707F" w:rsidRDefault="00BF707F" w:rsidP="000D5800">
      <w:pPr>
        <w:spacing w:after="0" w:line="240" w:lineRule="auto"/>
      </w:pPr>
      <w:r>
        <w:continuationSeparator/>
      </w:r>
    </w:p>
  </w:footnote>
  <w:footnote w:id="1">
    <w:p w:rsidR="00481FDA" w:rsidRDefault="00481FD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81FDA">
        <w:rPr>
          <w:rFonts w:ascii="Noor_Titr" w:hAnsi="Noor_Titr" w:cs="B Badr" w:hint="cs"/>
          <w:color w:val="000000" w:themeColor="text1"/>
          <w:rtl/>
        </w:rPr>
        <w:t>مسال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481FDA">
        <w:rPr>
          <w:rFonts w:ascii="Noor_Titr" w:hAnsi="Noor_Titr" w:cs="B Badr" w:hint="cs"/>
          <w:color w:val="000000" w:themeColor="text1"/>
          <w:rtl/>
        </w:rPr>
        <w:t xml:space="preserve"> الأفهام إل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481FDA">
        <w:rPr>
          <w:rFonts w:ascii="Noor_Titr" w:hAnsi="Noor_Titr" w:cs="B Badr" w:hint="cs"/>
          <w:color w:val="000000" w:themeColor="text1"/>
          <w:rtl/>
        </w:rPr>
        <w:t xml:space="preserve"> تنق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481FDA">
        <w:rPr>
          <w:rFonts w:ascii="Noor_Titr" w:hAnsi="Noor_Titr" w:cs="B Badr" w:hint="cs"/>
          <w:color w:val="000000" w:themeColor="text1"/>
          <w:rtl/>
        </w:rPr>
        <w:t xml:space="preserve">ح شرائع الإسلام؛ </w:t>
      </w:r>
      <w:r w:rsidR="00A10BF9">
        <w:rPr>
          <w:rFonts w:ascii="Noor_Titr" w:hAnsi="Noor_Titr" w:cs="B Badr"/>
          <w:color w:val="000000" w:themeColor="text1"/>
          <w:rtl/>
        </w:rPr>
        <w:t>ج 3</w:t>
      </w:r>
      <w:r w:rsidRPr="00481FDA">
        <w:rPr>
          <w:rFonts w:ascii="Noor_Titr" w:hAnsi="Noor_Titr" w:cs="B Badr" w:hint="cs"/>
          <w:color w:val="000000" w:themeColor="text1"/>
          <w:rtl/>
        </w:rPr>
        <w:t>، ص: 149</w:t>
      </w:r>
    </w:p>
  </w:footnote>
  <w:footnote w:id="2">
    <w:p w:rsidR="00481FDA" w:rsidRPr="00481FDA" w:rsidRDefault="00481FDA">
      <w:pPr>
        <w:pStyle w:val="FootnoteText"/>
        <w:rPr>
          <w:rFonts w:cs="B Badr"/>
        </w:rPr>
      </w:pPr>
      <w:r w:rsidRPr="00481FDA">
        <w:rPr>
          <w:rStyle w:val="FootnoteReference"/>
          <w:rFonts w:cs="B Badr"/>
        </w:rPr>
        <w:footnoteRef/>
      </w:r>
      <w:r w:rsidRPr="00481FDA">
        <w:rPr>
          <w:rFonts w:cs="B Badr"/>
          <w:rtl/>
        </w:rPr>
        <w:t xml:space="preserve"> </w:t>
      </w:r>
      <w:r w:rsidRPr="00481FDA">
        <w:rPr>
          <w:rFonts w:cs="B Badr" w:hint="cs"/>
          <w:rtl/>
        </w:rPr>
        <w:t>38/مائده</w:t>
      </w:r>
    </w:p>
  </w:footnote>
  <w:footnote w:id="3">
    <w:p w:rsidR="005A2078" w:rsidRDefault="005A207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A10BF9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4">
    <w:p w:rsidR="005A2078" w:rsidRDefault="005A20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A10BF9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5">
    <w:p w:rsidR="005A2078" w:rsidRDefault="005A20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دار الحد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ث)؛ </w:t>
      </w:r>
      <w:r w:rsidR="00A10BF9">
        <w:rPr>
          <w:rFonts w:ascii="Noor_Titr" w:hAnsi="Noor_Titr" w:cs="B Badr"/>
          <w:color w:val="000000" w:themeColor="text1"/>
          <w:rtl/>
        </w:rPr>
        <w:t>ج 14</w:t>
      </w:r>
      <w:r w:rsidRPr="005A2078">
        <w:rPr>
          <w:rFonts w:ascii="Noor_Titr" w:hAnsi="Noor_Titr" w:cs="B Badr" w:hint="cs"/>
          <w:color w:val="000000" w:themeColor="text1"/>
          <w:rtl/>
        </w:rPr>
        <w:t>، ص: 168</w:t>
      </w:r>
    </w:p>
  </w:footnote>
  <w:footnote w:id="6">
    <w:p w:rsidR="005A2078" w:rsidRDefault="005A20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A10BF9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7">
    <w:p w:rsidR="005A2078" w:rsidRDefault="005A207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A10BF9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8">
    <w:p w:rsidR="005A2078" w:rsidRDefault="005A207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2078">
        <w:rPr>
          <w:rFonts w:ascii="Noor_Titr" w:hAnsi="Noor_Titr" w:cs="B Badr" w:hint="cs"/>
          <w:color w:val="000000" w:themeColor="text1"/>
          <w:rtl/>
        </w:rPr>
        <w:t>ال</w:t>
      </w:r>
      <w:r w:rsidR="00A10BF9">
        <w:rPr>
          <w:rFonts w:ascii="Noor_Titr" w:hAnsi="Noor_Titr" w:cs="B Badr" w:hint="cs"/>
          <w:color w:val="000000" w:themeColor="text1"/>
          <w:rtl/>
        </w:rPr>
        <w:t>ک</w:t>
      </w:r>
      <w:r w:rsidRPr="005A2078">
        <w:rPr>
          <w:rFonts w:ascii="Noor_Titr" w:hAnsi="Noor_Titr" w:cs="B Badr" w:hint="cs"/>
          <w:color w:val="000000" w:themeColor="text1"/>
          <w:rtl/>
        </w:rPr>
        <w:t>اف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A10BF9">
        <w:rPr>
          <w:rFonts w:ascii="Noor_Titr" w:hAnsi="Noor_Titr" w:cs="B Badr" w:hint="cs"/>
          <w:color w:val="000000" w:themeColor="text1"/>
          <w:rtl/>
        </w:rPr>
        <w:t>ی</w:t>
      </w:r>
      <w:r w:rsidRPr="005A207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A10BF9">
        <w:rPr>
          <w:rFonts w:ascii="Noor_Titr" w:hAnsi="Noor_Titr" w:cs="B Badr"/>
          <w:color w:val="000000" w:themeColor="text1"/>
          <w:rtl/>
        </w:rPr>
        <w:t>ج 7</w:t>
      </w:r>
      <w:r w:rsidRPr="005A2078">
        <w:rPr>
          <w:rFonts w:ascii="Noor_Titr" w:hAnsi="Noor_Titr" w:cs="B Badr" w:hint="cs"/>
          <w:color w:val="000000" w:themeColor="text1"/>
          <w:rtl/>
        </w:rPr>
        <w:t>، ص: 232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65264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5CB293" wp14:editId="423B69E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E617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7C5A74BE" wp14:editId="353D953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A10BF9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52646">
      <w:rPr>
        <w:rFonts w:ascii="IranNastaliq" w:hAnsi="IranNastaliq" w:cs="IranNastaliq" w:hint="cs"/>
        <w:sz w:val="40"/>
        <w:szCs w:val="40"/>
        <w:rtl/>
      </w:rPr>
      <w:t>858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46"/>
    <w:rsid w:val="00004693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068CA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1F711E"/>
    <w:rsid w:val="001F7C3A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5376D"/>
    <w:rsid w:val="00362DB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1380"/>
    <w:rsid w:val="00415360"/>
    <w:rsid w:val="0044591E"/>
    <w:rsid w:val="004651D2"/>
    <w:rsid w:val="00465D26"/>
    <w:rsid w:val="004679F8"/>
    <w:rsid w:val="00481FDA"/>
    <w:rsid w:val="004B337F"/>
    <w:rsid w:val="004F3596"/>
    <w:rsid w:val="00572E2D"/>
    <w:rsid w:val="00592103"/>
    <w:rsid w:val="0059236C"/>
    <w:rsid w:val="005941DD"/>
    <w:rsid w:val="00597595"/>
    <w:rsid w:val="005A2078"/>
    <w:rsid w:val="005A545E"/>
    <w:rsid w:val="005A5862"/>
    <w:rsid w:val="005B0852"/>
    <w:rsid w:val="005C06AE"/>
    <w:rsid w:val="005D6A46"/>
    <w:rsid w:val="00610C18"/>
    <w:rsid w:val="00612385"/>
    <w:rsid w:val="0061376C"/>
    <w:rsid w:val="00636EFA"/>
    <w:rsid w:val="00652646"/>
    <w:rsid w:val="0066229C"/>
    <w:rsid w:val="0069696C"/>
    <w:rsid w:val="006A085A"/>
    <w:rsid w:val="006A2F16"/>
    <w:rsid w:val="006D3A87"/>
    <w:rsid w:val="006F01B4"/>
    <w:rsid w:val="006F5F1D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9F2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85595"/>
    <w:rsid w:val="009B46BC"/>
    <w:rsid w:val="009B4A89"/>
    <w:rsid w:val="009B61C3"/>
    <w:rsid w:val="009C7B4F"/>
    <w:rsid w:val="009F4EB3"/>
    <w:rsid w:val="00A06D48"/>
    <w:rsid w:val="00A10BF9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BF707F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2E5D54-6FF0-4D68-B3F0-7126C176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6526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81F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B309-E5D0-4759-919C-FD1F2B6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0</TotalTime>
  <Pages>9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10</cp:revision>
  <dcterms:created xsi:type="dcterms:W3CDTF">2015-10-15T01:12:00Z</dcterms:created>
  <dcterms:modified xsi:type="dcterms:W3CDTF">2015-10-15T01:12:00Z</dcterms:modified>
</cp:coreProperties>
</file>