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DA" w:rsidRPr="009A7B2C" w:rsidRDefault="000074DA" w:rsidP="009A7B2C">
      <w:pPr>
        <w:tabs>
          <w:tab w:val="left" w:pos="1256"/>
          <w:tab w:val="left" w:pos="5696"/>
          <w:tab w:val="right" w:pos="9071"/>
        </w:tabs>
        <w:bidi/>
        <w:spacing w:line="240" w:lineRule="auto"/>
        <w:jc w:val="both"/>
        <w:rPr>
          <w:rFonts w:cs="B Badr"/>
          <w:b/>
          <w:bCs/>
          <w:sz w:val="32"/>
          <w:rtl/>
          <w:lang w:bidi="fa-IR"/>
        </w:rPr>
      </w:pPr>
    </w:p>
    <w:p w:rsidR="003A5CAD" w:rsidRDefault="00F73718" w:rsidP="003A5CAD">
      <w:pPr>
        <w:bidi/>
        <w:spacing w:line="360" w:lineRule="auto"/>
        <w:jc w:val="both"/>
        <w:rPr>
          <w:noProof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8810CA" w:rsidRPr="003A5CAD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3A5CAD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3A5CA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A5CAD">
        <w:rPr>
          <w:rFonts w:ascii="IRBadr" w:hAnsi="IRBadr" w:cs="IRBadr"/>
          <w:sz w:val="28"/>
          <w:szCs w:val="28"/>
          <w:lang w:bidi="fa-IR"/>
        </w:rPr>
        <w:instrText>TOC</w:instrText>
      </w:r>
      <w:r w:rsidR="003A5CAD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3A5CAD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3A5CA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A5CAD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3A5CAD" w:rsidRDefault="003A5CAD" w:rsidP="003A5C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044" w:history="1">
        <w:r w:rsidRPr="00E61E30">
          <w:rPr>
            <w:rStyle w:val="Hyperlink"/>
            <w:rFonts w:ascii="IRBadr" w:hAnsi="IRBadr" w:cs="IRBadr" w:hint="eastAsia"/>
            <w:noProof/>
            <w:rtl/>
          </w:rPr>
          <w:t>حد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سرقت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5CAD" w:rsidRDefault="003A5CAD" w:rsidP="003A5C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045" w:history="1">
        <w:r w:rsidRPr="00E61E30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پ</w:t>
        </w:r>
        <w:r w:rsidRPr="00E61E30">
          <w:rPr>
            <w:rStyle w:val="Hyperlink"/>
            <w:rFonts w:ascii="IRBadr" w:hAnsi="IRBadr" w:cs="IRBadr" w:hint="cs"/>
            <w:noProof/>
            <w:rtl/>
          </w:rPr>
          <w:t>ی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ش</w:t>
        </w:r>
        <w:r w:rsidRPr="00E61E30">
          <w:rPr>
            <w:rStyle w:val="Hyperlink"/>
            <w:rFonts w:ascii="IRBadr" w:hAnsi="IRBadr" w:cs="IRBadr" w:hint="cs"/>
            <w:noProof/>
            <w:rtl/>
          </w:rPr>
          <w:t>ی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5CAD" w:rsidRDefault="003A5CAD" w:rsidP="003A5CA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046" w:history="1">
        <w:r w:rsidRPr="00E61E30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5CAD" w:rsidRDefault="003A5CAD" w:rsidP="003A5CA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047" w:history="1">
        <w:r w:rsidRPr="00E61E30">
          <w:rPr>
            <w:rStyle w:val="Hyperlink"/>
            <w:rFonts w:ascii="IRBadr" w:hAnsi="IRBadr" w:cs="IRBadr" w:hint="eastAsia"/>
            <w:noProof/>
            <w:rtl/>
          </w:rPr>
          <w:t>اشکال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جمع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5CAD" w:rsidRDefault="003A5CAD" w:rsidP="003A5CA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048" w:history="1">
        <w:r w:rsidRPr="00E61E30">
          <w:rPr>
            <w:rStyle w:val="Hyperlink"/>
            <w:rFonts w:ascii="IRBadr" w:hAnsi="IRBadr" w:cs="IRBadr" w:hint="eastAsia"/>
            <w:noProof/>
            <w:rtl/>
          </w:rPr>
          <w:t>نقد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اشکال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5CAD" w:rsidRDefault="003A5CAD" w:rsidP="003A5CA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049" w:history="1">
        <w:r w:rsidRPr="00E61E30">
          <w:rPr>
            <w:rStyle w:val="Hyperlink"/>
            <w:rFonts w:ascii="IRBadr" w:hAnsi="IRBadr" w:cs="IRBadr" w:hint="eastAsia"/>
            <w:noProof/>
            <w:rtl/>
          </w:rPr>
          <w:t>محور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سوم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Pr="00E61E30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5CAD" w:rsidRDefault="003A5CAD" w:rsidP="003A5CA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050" w:history="1">
        <w:r w:rsidRPr="00E61E30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Pr="00E61E30">
          <w:rPr>
            <w:rStyle w:val="Hyperlink"/>
            <w:rFonts w:ascii="IRBadr" w:hAnsi="IRBadr" w:cs="IRBadr" w:hint="cs"/>
            <w:noProof/>
            <w:rtl/>
          </w:rPr>
          <w:t>ی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مرحله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سوم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فرض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جد</w:t>
        </w:r>
        <w:r w:rsidRPr="00E61E30">
          <w:rPr>
            <w:rStyle w:val="Hyperlink"/>
            <w:rFonts w:ascii="IRBadr" w:hAnsi="IRBadr" w:cs="IRBadr" w:hint="cs"/>
            <w:noProof/>
            <w:rtl/>
          </w:rPr>
          <w:t>ی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CAD" w:rsidRDefault="003A5CAD" w:rsidP="003A5CA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051" w:history="1">
        <w:r w:rsidRPr="00E61E30">
          <w:rPr>
            <w:rStyle w:val="Hyperlink"/>
            <w:rFonts w:ascii="IRBadr" w:hAnsi="IRBadr" w:cs="IRBadr" w:hint="eastAsia"/>
            <w:noProof/>
            <w:rtl/>
          </w:rPr>
          <w:t>تطب</w:t>
        </w:r>
        <w:r w:rsidRPr="00E61E30">
          <w:rPr>
            <w:rStyle w:val="Hyperlink"/>
            <w:rFonts w:ascii="IRBadr" w:hAnsi="IRBadr" w:cs="IRBadr" w:hint="cs"/>
            <w:noProof/>
            <w:rtl/>
          </w:rPr>
          <w:t>ی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ق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رابطه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عموم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و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خصوص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E61E30">
          <w:rPr>
            <w:rStyle w:val="Hyperlink"/>
            <w:rFonts w:ascii="IRBadr" w:hAnsi="IRBadr" w:cs="IRBadr" w:hint="cs"/>
            <w:noProof/>
            <w:rtl/>
          </w:rPr>
          <w:t>ی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CAD" w:rsidRDefault="003A5CAD" w:rsidP="003A5CA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052" w:history="1">
        <w:r w:rsidRPr="00E61E30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Pr="00E61E3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61E30">
          <w:rPr>
            <w:rStyle w:val="Hyperlink"/>
            <w:rFonts w:ascii="IRBadr" w:hAnsi="IRBadr" w:cs="IRBadr"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CAD" w:rsidRDefault="003A5CAD" w:rsidP="003A5CA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053" w:history="1">
        <w:r w:rsidRPr="00E61E30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Pr="00E61E30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5CAD" w:rsidRDefault="003A5CAD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A5CAD" w:rsidRDefault="003A5CAD" w:rsidP="003A5CAD">
      <w:pPr>
        <w:bidi/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  <w:bookmarkStart w:id="0" w:name="_GoBack"/>
      <w:bookmarkEnd w:id="0"/>
    </w:p>
    <w:p w:rsidR="00AB49DC" w:rsidRPr="003A5CAD" w:rsidRDefault="00AB49DC" w:rsidP="003A5CAD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2609044"/>
      <w:r w:rsidRPr="003A5CAD">
        <w:rPr>
          <w:rFonts w:ascii="IRBadr" w:hAnsi="IRBadr" w:cs="IRBadr"/>
          <w:rtl/>
        </w:rPr>
        <w:t>حد سرقت</w:t>
      </w:r>
      <w:bookmarkEnd w:id="1"/>
    </w:p>
    <w:p w:rsidR="00AB49DC" w:rsidRPr="003A5CAD" w:rsidRDefault="00AB49DC" w:rsidP="003A5CAD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32609045"/>
      <w:r w:rsidRPr="003A5CAD">
        <w:rPr>
          <w:rFonts w:ascii="IRBadr" w:hAnsi="IRBadr" w:cs="IRBadr"/>
          <w:rtl/>
        </w:rPr>
        <w:t>مرور بحث پیشین</w:t>
      </w:r>
      <w:bookmarkEnd w:id="2"/>
    </w:p>
    <w:p w:rsidR="00AB49DC" w:rsidRPr="003A5CAD" w:rsidRDefault="00AB49DC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>بحث در مسلکی بود که در قبال حد صبی وجود دارد،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مسلک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در جلسه سابق مسلک چهارم بود که آقای خویی بدان اعتقاد داشت. تا اینکه بحث منتهی شد به جمع بین ابعاد مختلف روایاتی که در باب حد صبی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چند جهت جمع برای آن روایات مطرح شد تا اینکه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درصدد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جمع در مرحله سوم در روایات بودیم،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گفتیم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>؛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نظریه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آقای خویی که ظاهراً در اینجا اسد نظریات بود،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قائل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شده بود که جمع بین روایات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دراین‌باره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تخییر است یعنی حاکم 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lastRenderedPageBreak/>
        <w:t>در مرحله سوم مخیر است که انامل را قطع کند یا تعزیر نماید.</w:t>
      </w:r>
    </w:p>
    <w:p w:rsidR="00AB49DC" w:rsidRPr="003A5CAD" w:rsidRDefault="00AB49DC" w:rsidP="003A5CAD">
      <w:pPr>
        <w:pStyle w:val="Heading1"/>
        <w:spacing w:line="360" w:lineRule="auto"/>
        <w:rPr>
          <w:rFonts w:ascii="IRBadr" w:hAnsi="IRBadr" w:cs="IRBadr"/>
          <w:rtl/>
        </w:rPr>
      </w:pPr>
      <w:bookmarkStart w:id="3" w:name="_Toc432609046"/>
      <w:r w:rsidRPr="003A5CAD">
        <w:rPr>
          <w:rFonts w:ascii="IRBadr" w:hAnsi="IRBadr" w:cs="IRBadr"/>
          <w:rtl/>
        </w:rPr>
        <w:t>اتخاذ مبنا</w:t>
      </w:r>
      <w:bookmarkEnd w:id="3"/>
    </w:p>
    <w:p w:rsidR="00AB49DC" w:rsidRPr="003A5CAD" w:rsidRDefault="00AB49DC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این جمع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ارائه‌شده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جمعی عقلایی و صحیح است.</w:t>
      </w:r>
    </w:p>
    <w:p w:rsidR="00AB49DC" w:rsidRPr="003A5CAD" w:rsidRDefault="00AB49DC" w:rsidP="003A5CAD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2609047"/>
      <w:r w:rsidRPr="003A5CAD">
        <w:rPr>
          <w:rFonts w:ascii="IRBadr" w:hAnsi="IRBadr" w:cs="IRBadr"/>
          <w:rtl/>
        </w:rPr>
        <w:t>اشکال در جمع فوق</w:t>
      </w:r>
      <w:bookmarkEnd w:id="4"/>
    </w:p>
    <w:p w:rsidR="00AB49DC" w:rsidRPr="003A5CAD" w:rsidRDefault="00AB49DC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برخی در این جمع اشکال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</w:p>
    <w:p w:rsidR="00AB49DC" w:rsidRPr="003A5CAD" w:rsidRDefault="00AB49DC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>تخییر در میان اقل و اکثر چندان معقول نیست،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بین این دو بخش فرق زیادی وجود دارد. این </w:t>
      </w:r>
      <w:r w:rsidR="008810CA" w:rsidRPr="003A5CAD">
        <w:rPr>
          <w:rFonts w:ascii="IRBadr" w:hAnsi="IRBadr" w:cs="IRBadr"/>
          <w:sz w:val="28"/>
          <w:szCs w:val="28"/>
          <w:rtl/>
          <w:lang w:bidi="fa-IR"/>
        </w:rPr>
        <w:t xml:space="preserve">اشکالی است که در جواهر و مرحوم آقای خوانساری 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>نیز</w:t>
      </w:r>
      <w:r w:rsidR="008810CA" w:rsidRPr="003A5CAD">
        <w:rPr>
          <w:rFonts w:ascii="IRBadr" w:hAnsi="IRBadr" w:cs="IRBadr"/>
          <w:sz w:val="28"/>
          <w:szCs w:val="28"/>
          <w:rtl/>
          <w:lang w:bidi="fa-IR"/>
        </w:rPr>
        <w:t xml:space="preserve"> در جامع المدارج آورده‌اند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>.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ذهن در اینجا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نمی‌پسندد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که حاکم مخیر بین چند جمع باشد که تفاوت زیادی با یکدیگر دارند.</w:t>
      </w:r>
    </w:p>
    <w:p w:rsidR="00AB49DC" w:rsidRPr="003A5CAD" w:rsidRDefault="00AB49DC" w:rsidP="003A5CAD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2609048"/>
      <w:r w:rsidRPr="003A5CAD">
        <w:rPr>
          <w:rFonts w:ascii="IRBadr" w:hAnsi="IRBadr" w:cs="IRBadr"/>
          <w:rtl/>
        </w:rPr>
        <w:lastRenderedPageBreak/>
        <w:t>نقد اشکال فوق</w:t>
      </w:r>
      <w:bookmarkEnd w:id="5"/>
    </w:p>
    <w:p w:rsidR="00AB49DC" w:rsidRPr="003A5CAD" w:rsidRDefault="00AB49DC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>این اشکال وارد نیست چراکه اعتبار با آن مساعد است،</w:t>
      </w:r>
      <w:r w:rsidR="00693B0A" w:rsidRPr="003A5CAD">
        <w:rPr>
          <w:rFonts w:ascii="IRBadr" w:hAnsi="IRBadr" w:cs="IRBadr"/>
          <w:sz w:val="28"/>
          <w:szCs w:val="28"/>
          <w:rtl/>
          <w:lang w:bidi="fa-IR"/>
        </w:rPr>
        <w:t xml:space="preserve"> علاوه بر این در ابواب دیگر حدود نیز مواردی داریم که حاکم مخیر بین چند حد است که تناسب چندانی با یکدیگر ندارند،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 w:rsidR="00693B0A" w:rsidRPr="003A5CAD">
        <w:rPr>
          <w:rFonts w:ascii="IRBadr" w:hAnsi="IRBadr" w:cs="IRBadr"/>
          <w:sz w:val="28"/>
          <w:szCs w:val="28"/>
          <w:rtl/>
          <w:lang w:bidi="fa-IR"/>
        </w:rPr>
        <w:t xml:space="preserve"> اختیار بین قطع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دست‌وپا</w:t>
      </w:r>
      <w:r w:rsidR="00693B0A" w:rsidRPr="003A5CAD">
        <w:rPr>
          <w:rFonts w:ascii="IRBadr" w:hAnsi="IRBadr" w:cs="IRBadr"/>
          <w:sz w:val="28"/>
          <w:szCs w:val="28"/>
          <w:rtl/>
          <w:lang w:bidi="fa-IR"/>
        </w:rPr>
        <w:t xml:space="preserve"> متخافاً یا کشتن فرد. لذا تفاوت موجود در اقل و اکثر در اینجا فاقد مانعی است.</w:t>
      </w:r>
    </w:p>
    <w:p w:rsidR="00693B0A" w:rsidRPr="003A5CAD" w:rsidRDefault="00693B0A" w:rsidP="003A5CAD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2609049"/>
      <w:r w:rsidRPr="003A5CAD">
        <w:rPr>
          <w:rFonts w:ascii="IRBadr" w:hAnsi="IRBadr" w:cs="IRBadr"/>
          <w:rtl/>
        </w:rPr>
        <w:t xml:space="preserve">محور سوم </w:t>
      </w:r>
      <w:r w:rsidR="00F73718" w:rsidRPr="003A5CAD">
        <w:rPr>
          <w:rFonts w:ascii="IRBadr" w:hAnsi="IRBadr" w:cs="IRBadr"/>
          <w:rtl/>
        </w:rPr>
        <w:t>جمع‌بندی</w:t>
      </w:r>
      <w:bookmarkEnd w:id="6"/>
    </w:p>
    <w:p w:rsidR="00693B0A" w:rsidRPr="003A5CAD" w:rsidRDefault="008810CA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محور چهارمی که وجود دارد، این است که در روایت دوازدهم بحث سال و سن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است. روایت دوازدهم </w:t>
      </w:r>
      <w:r w:rsidR="00693B0A" w:rsidRPr="003A5CAD">
        <w:rPr>
          <w:rFonts w:ascii="IRBadr" w:hAnsi="IRBadr" w:cs="IRBadr"/>
          <w:sz w:val="28"/>
          <w:szCs w:val="28"/>
          <w:rtl/>
          <w:lang w:bidi="fa-IR"/>
        </w:rPr>
        <w:t xml:space="preserve">معتبره محمد بن مسلم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است</w:t>
      </w:r>
      <w:r w:rsidR="00693B0A" w:rsidRPr="003A5CAD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9A7B2C" w:rsidRPr="003A5CAD" w:rsidRDefault="009A7B2C" w:rsidP="003A5CA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«مُحَمَّدُ بْنُ </w:t>
      </w:r>
      <w:r w:rsidR="00F73718"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F73718"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مُحَمَّدِ بْنِ الْحُسَ</w:t>
      </w:r>
      <w:r w:rsidR="00F73718"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عَنْ بَعْضِ أَصْحَابِهِ عَنِ الْعَلَاءِ بْنِ رَزِ</w:t>
      </w:r>
      <w:r w:rsidR="00F73718"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نٍ عَنْ مُحَمَّدِ بْنِ مُسْلِمٍ قَالَ: سَأَلْتُ أَبَا جَعْفَرٍ ع عَنِ الصَّبِ</w:t>
      </w:r>
      <w:r w:rsidR="00F73718"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F73718"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سْرِقُ فَقَالَ </w:t>
      </w: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 xml:space="preserve">إِنْ </w:t>
      </w:r>
      <w:r w:rsidR="00F73718"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لَهُ تِسْعُ سِنِ</w:t>
      </w:r>
      <w:r w:rsidR="00F73718"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قُطِعَتْ </w:t>
      </w:r>
      <w:r w:rsidR="00F73718"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دُهُ وَ لَا </w:t>
      </w:r>
      <w:r w:rsidR="00F73718"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ضَ</w:t>
      </w:r>
      <w:r w:rsidR="00F73718"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A5CA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عُ حَدٌّ مِنْ حُدُودِ اللَّهِ عَزَّ وَ جَلَّ.»</w:t>
      </w:r>
      <w:r w:rsidRPr="003A5CA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693B0A" w:rsidRPr="003A5CAD" w:rsidRDefault="008810CA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>اگر هفت سال یا کمتر باشد مادون هفت سال باشد،</w:t>
      </w:r>
      <w:r w:rsidR="00693B0A" w:rsidRPr="003A5CAD">
        <w:rPr>
          <w:rFonts w:ascii="IRBadr" w:hAnsi="IRBadr" w:cs="IRBadr"/>
          <w:sz w:val="28"/>
          <w:szCs w:val="28"/>
          <w:rtl/>
          <w:lang w:bidi="fa-IR"/>
        </w:rPr>
        <w:t xml:space="preserve"> عفو می‌شود.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مرحله قطع بنان یا ساییدن تا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خون‌آلود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شدن چه یک مفصل یا دو مفصل مربوط به بعد از هفت سال است. و آن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مرحله‌ای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که قطع کامل می‌شود، آن </w:t>
      </w:r>
      <w:r w:rsidR="00693B0A" w:rsidRPr="003A5CAD">
        <w:rPr>
          <w:rFonts w:ascii="IRBadr" w:hAnsi="IRBadr" w:cs="IRBadr"/>
          <w:sz w:val="28"/>
          <w:szCs w:val="28"/>
          <w:rtl/>
          <w:lang w:bidi="fa-IR"/>
        </w:rPr>
        <w:t>برای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مرحله بعد از نه سال است.</w:t>
      </w:r>
    </w:p>
    <w:p w:rsidR="00693B0A" w:rsidRPr="003A5CAD" w:rsidRDefault="00693B0A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این روایت دوازدهم وضع جدیدی را ایجاد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و باب پس و قبل از هفت سال را در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جمع‌بندی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می‌گشاید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. در روایات سابق در قبال بار سوم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>؛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مطلقاً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سرانگشتان او قطع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>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این روایت بعد از هفت سال را مطرح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می‌نماید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. اما اینکه اگر </w:t>
      </w:r>
      <w:r w:rsidR="008810CA" w:rsidRPr="003A5CAD">
        <w:rPr>
          <w:rFonts w:ascii="IRBadr" w:hAnsi="IRBadr" w:cs="IRBadr"/>
          <w:sz w:val="28"/>
          <w:szCs w:val="28"/>
          <w:rtl/>
          <w:lang w:bidi="fa-IR"/>
        </w:rPr>
        <w:t>قبل از هفت سال تکرار بشود، از آن ساکت است.</w:t>
      </w:r>
    </w:p>
    <w:p w:rsidR="00C32E98" w:rsidRPr="003A5CAD" w:rsidRDefault="00F73718" w:rsidP="003A5CAD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32609050"/>
      <w:r w:rsidRPr="003A5CAD">
        <w:rPr>
          <w:rFonts w:ascii="IRBadr" w:hAnsi="IRBadr" w:cs="IRBadr"/>
          <w:rtl/>
        </w:rPr>
        <w:lastRenderedPageBreak/>
        <w:t>جمع‌بندی</w:t>
      </w:r>
      <w:r w:rsidR="00C32E98" w:rsidRPr="003A5CAD">
        <w:rPr>
          <w:rFonts w:ascii="IRBadr" w:hAnsi="IRBadr" w:cs="IRBadr"/>
          <w:rtl/>
        </w:rPr>
        <w:t xml:space="preserve"> مرحله سوم در فرض جدید</w:t>
      </w:r>
      <w:bookmarkEnd w:id="7"/>
    </w:p>
    <w:p w:rsidR="00C32E98" w:rsidRPr="003A5CAD" w:rsidRDefault="008810CA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>یعنی آن روا</w:t>
      </w:r>
      <w:r w:rsidR="00C32E98" w:rsidRPr="003A5CAD">
        <w:rPr>
          <w:rFonts w:ascii="IRBadr" w:hAnsi="IRBadr" w:cs="IRBadr"/>
          <w:sz w:val="28"/>
          <w:szCs w:val="28"/>
          <w:rtl/>
          <w:lang w:bidi="fa-IR"/>
        </w:rPr>
        <w:t xml:space="preserve">یاتی که مطلق می‌گفت بار سوم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عمل می‌کنیم، مقید </w:t>
      </w:r>
      <w:r w:rsidR="00C32E98" w:rsidRPr="003A5CAD">
        <w:rPr>
          <w:rFonts w:ascii="IRBadr" w:hAnsi="IRBadr" w:cs="IRBadr"/>
          <w:sz w:val="28"/>
          <w:szCs w:val="28"/>
          <w:rtl/>
          <w:lang w:bidi="fa-IR"/>
        </w:rPr>
        <w:t xml:space="preserve">می‌شود 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>به ا</w:t>
      </w:r>
      <w:r w:rsidR="00C32E98" w:rsidRPr="003A5CAD">
        <w:rPr>
          <w:rFonts w:ascii="IRBadr" w:hAnsi="IRBadr" w:cs="IRBadr"/>
          <w:sz w:val="28"/>
          <w:szCs w:val="28"/>
          <w:rtl/>
          <w:lang w:bidi="fa-IR"/>
        </w:rPr>
        <w:t xml:space="preserve">ینکه می‌گوید بعد از هفت سال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C32E98" w:rsidRPr="003A5CAD">
        <w:rPr>
          <w:rFonts w:ascii="IRBadr" w:hAnsi="IRBadr" w:cs="IRBadr"/>
          <w:sz w:val="28"/>
          <w:szCs w:val="28"/>
          <w:rtl/>
          <w:lang w:bidi="fa-IR"/>
        </w:rPr>
        <w:t xml:space="preserve"> عمل 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>شود</w:t>
      </w:r>
      <w:r w:rsidR="00C32E98" w:rsidRPr="003A5CAD">
        <w:rPr>
          <w:rFonts w:ascii="IRBadr" w:hAnsi="IRBadr" w:cs="IRBadr"/>
          <w:sz w:val="28"/>
          <w:szCs w:val="28"/>
          <w:rtl/>
          <w:lang w:bidi="fa-IR"/>
        </w:rPr>
        <w:t xml:space="preserve"> که بار سوم قطعاً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32E98" w:rsidRPr="003A5CAD">
        <w:rPr>
          <w:rFonts w:ascii="IRBadr" w:hAnsi="IRBadr" w:cs="IRBadr"/>
          <w:sz w:val="28"/>
          <w:szCs w:val="28"/>
          <w:rtl/>
          <w:lang w:bidi="fa-IR"/>
        </w:rPr>
        <w:t xml:space="preserve">برای 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بعد از هفت سال است.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احتمال، جمع همان اطلاق و تقیید </w:t>
      </w:r>
      <w:r w:rsidR="00C32E98" w:rsidRPr="003A5CAD">
        <w:rPr>
          <w:rFonts w:ascii="IRBadr" w:hAnsi="IRBadr" w:cs="IRBadr"/>
          <w:sz w:val="28"/>
          <w:szCs w:val="28"/>
          <w:rtl/>
          <w:lang w:bidi="fa-IR"/>
        </w:rPr>
        <w:t>و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مثل مراحل قبل است.</w:t>
      </w:r>
    </w:p>
    <w:p w:rsidR="00A60649" w:rsidRPr="003A5CAD" w:rsidRDefault="008810CA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>اما یک احتمال دیگر اینجا وجود دارد که آقای خویی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 xml:space="preserve"> آن را مطرح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 xml:space="preserve"> که احتمال عموم و خصوص من وجه باشد.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 xml:space="preserve"> برداشت ایشان این بوده که تعبیر بعد از هفت سال اشاره به بار سوم ندارد.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 xml:space="preserve"> این احتمال بیان شود،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 xml:space="preserve"> آن زمان رابطه بین این روایت و روایات دیگر عموم و خصوص من وجه خواهد بود.</w:t>
      </w:r>
    </w:p>
    <w:p w:rsidR="00A60649" w:rsidRPr="003A5CAD" w:rsidRDefault="00A60649" w:rsidP="003A5CAD">
      <w:pPr>
        <w:pStyle w:val="Heading2"/>
        <w:spacing w:line="360" w:lineRule="auto"/>
        <w:rPr>
          <w:rFonts w:ascii="IRBadr" w:hAnsi="IRBadr" w:cs="IRBadr"/>
          <w:rtl/>
        </w:rPr>
      </w:pPr>
      <w:bookmarkStart w:id="8" w:name="_Toc432609051"/>
      <w:r w:rsidRPr="003A5CAD">
        <w:rPr>
          <w:rFonts w:ascii="IRBadr" w:hAnsi="IRBadr" w:cs="IRBadr"/>
          <w:rtl/>
        </w:rPr>
        <w:lastRenderedPageBreak/>
        <w:t>تطبیق رابطه عموم و خصوص در این مقام</w:t>
      </w:r>
      <w:bookmarkEnd w:id="8"/>
    </w:p>
    <w:p w:rsidR="00A60649" w:rsidRPr="003A5CAD" w:rsidRDefault="008810CA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ماده افتراق 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>در این رابطه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این است که قبل از هفت سال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 xml:space="preserve"> و تا نه سال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>باشد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اول و دوم بخشیده می‌شود. 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روایات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 xml:space="preserve"> گذشته بار سوم باید قطع صورت بگیرد اما طبق این برداشت،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بعد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 xml:space="preserve"> از هفت سال در مرحله سوم باید قطع صورت بگیرد.</w:t>
      </w:r>
    </w:p>
    <w:p w:rsidR="00A60649" w:rsidRPr="003A5CAD" w:rsidRDefault="00A60649" w:rsidP="003A5CAD">
      <w:pPr>
        <w:pStyle w:val="Heading2"/>
        <w:spacing w:line="360" w:lineRule="auto"/>
        <w:rPr>
          <w:rFonts w:ascii="IRBadr" w:hAnsi="IRBadr" w:cs="IRBadr"/>
          <w:rtl/>
        </w:rPr>
      </w:pPr>
      <w:bookmarkStart w:id="9" w:name="_Toc432609052"/>
      <w:r w:rsidRPr="003A5CAD">
        <w:rPr>
          <w:rFonts w:ascii="IRBadr" w:hAnsi="IRBadr" w:cs="IRBadr"/>
          <w:rtl/>
        </w:rPr>
        <w:t>اتخاذ مبنا</w:t>
      </w:r>
      <w:bookmarkEnd w:id="9"/>
    </w:p>
    <w:p w:rsidR="00A60649" w:rsidRPr="003A5CAD" w:rsidRDefault="008810CA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>نظر ما این است که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 xml:space="preserve"> رابطه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این روایت با روایات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عموم خصوص مطلق است.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تشریح</w:t>
      </w:r>
      <w:r w:rsidR="00A60649" w:rsidRPr="003A5CAD">
        <w:rPr>
          <w:rFonts w:ascii="IRBadr" w:hAnsi="IRBadr" w:cs="IRBadr"/>
          <w:sz w:val="28"/>
          <w:szCs w:val="28"/>
          <w:rtl/>
          <w:lang w:bidi="fa-IR"/>
        </w:rPr>
        <w:t xml:space="preserve"> عموم و خصوص مطلق بدین نحو است که </w:t>
      </w:r>
      <w:r w:rsidR="00BA5B1F" w:rsidRPr="003A5CAD">
        <w:rPr>
          <w:rFonts w:ascii="IRBadr" w:hAnsi="IRBadr" w:cs="IRBadr"/>
          <w:sz w:val="28"/>
          <w:szCs w:val="28"/>
          <w:rtl/>
          <w:lang w:bidi="fa-IR"/>
        </w:rPr>
        <w:t xml:space="preserve">روایات دیگر در قبال مرحله سوم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BA5B1F" w:rsidRPr="003A5CAD">
        <w:rPr>
          <w:rFonts w:ascii="IRBadr" w:hAnsi="IRBadr" w:cs="IRBadr"/>
          <w:sz w:val="28"/>
          <w:szCs w:val="28"/>
          <w:rtl/>
          <w:lang w:bidi="fa-IR"/>
        </w:rPr>
        <w:t xml:space="preserve"> مطلقاً قطع صورت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BA5B1F" w:rsidRPr="003A5CAD">
        <w:rPr>
          <w:rFonts w:ascii="IRBadr" w:hAnsi="IRBadr" w:cs="IRBadr"/>
          <w:sz w:val="28"/>
          <w:szCs w:val="28"/>
          <w:rtl/>
          <w:lang w:bidi="fa-IR"/>
        </w:rPr>
        <w:t>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BA5B1F" w:rsidRPr="003A5CAD">
        <w:rPr>
          <w:rFonts w:ascii="IRBadr" w:hAnsi="IRBadr" w:cs="IRBadr"/>
          <w:sz w:val="28"/>
          <w:szCs w:val="28"/>
          <w:rtl/>
          <w:lang w:bidi="fa-IR"/>
        </w:rPr>
        <w:t xml:space="preserve"> روایت قطع را به پس از هفت سال اختصاص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BA5B1F" w:rsidRPr="003A5CAD">
        <w:rPr>
          <w:rFonts w:ascii="IRBadr" w:hAnsi="IRBadr" w:cs="IRBadr"/>
          <w:sz w:val="28"/>
          <w:szCs w:val="28"/>
          <w:rtl/>
          <w:lang w:bidi="fa-IR"/>
        </w:rPr>
        <w:t xml:space="preserve">، در آن روایات در مرحله پنجم قائل به قطع کامل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lastRenderedPageBreak/>
        <w:t>می‌شد</w:t>
      </w:r>
      <w:r w:rsidR="00BA5B1F" w:rsidRPr="003A5CAD">
        <w:rPr>
          <w:rFonts w:ascii="IRBadr" w:hAnsi="IRBadr" w:cs="IRBadr"/>
          <w:sz w:val="28"/>
          <w:szCs w:val="28"/>
          <w:rtl/>
          <w:lang w:bidi="fa-IR"/>
        </w:rPr>
        <w:t xml:space="preserve"> اما در این روایت قیدی دیگر وجود دارد.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BA5B1F" w:rsidRPr="003A5CAD">
        <w:rPr>
          <w:rFonts w:ascii="IRBadr" w:hAnsi="IRBadr" w:cs="IRBadr"/>
          <w:sz w:val="28"/>
          <w:szCs w:val="28"/>
          <w:rtl/>
          <w:lang w:bidi="fa-IR"/>
        </w:rPr>
        <w:t xml:space="preserve"> با این دو جهت،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BA5B1F" w:rsidRPr="003A5CAD">
        <w:rPr>
          <w:rFonts w:ascii="IRBadr" w:hAnsi="IRBadr" w:cs="IRBadr"/>
          <w:sz w:val="28"/>
          <w:szCs w:val="28"/>
          <w:rtl/>
          <w:lang w:bidi="fa-IR"/>
        </w:rPr>
        <w:t xml:space="preserve"> روایت مقید آن روایات شده و دیگر اشکالی باقی نخواهد بود.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BA5B1F" w:rsidRPr="003A5CAD">
        <w:rPr>
          <w:rFonts w:ascii="IRBadr" w:hAnsi="IRBadr" w:cs="IRBadr"/>
          <w:sz w:val="28"/>
          <w:szCs w:val="28"/>
          <w:rtl/>
          <w:lang w:bidi="fa-IR"/>
        </w:rPr>
        <w:t xml:space="preserve"> مدعای ما مطابق با نظر آقای خویی است گرچه در جزئیات ممکن است تفاوتاتی داشته باشند.</w:t>
      </w:r>
    </w:p>
    <w:p w:rsidR="00BA5B1F" w:rsidRPr="003A5CAD" w:rsidRDefault="001D2F1B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>این استدلال کاملاً درستی است که از صبی غیر ممیز این دلیل کاملاً انصراف دارد،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قبال صبی ممیز نیز چندان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تشخیص داد،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باز به خاطر قاعده درع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در اینجا ادعای انصراف داشت.</w:t>
      </w:r>
    </w:p>
    <w:p w:rsidR="001D2F1B" w:rsidRPr="003A5CAD" w:rsidRDefault="006E7C34" w:rsidP="003A5CAD">
      <w:pPr>
        <w:pStyle w:val="Heading2"/>
        <w:spacing w:line="360" w:lineRule="auto"/>
        <w:rPr>
          <w:rFonts w:ascii="IRBadr" w:hAnsi="IRBadr" w:cs="IRBadr"/>
          <w:rtl/>
        </w:rPr>
      </w:pPr>
      <w:bookmarkStart w:id="10" w:name="_Toc432609053"/>
      <w:r w:rsidRPr="003A5CAD">
        <w:rPr>
          <w:rFonts w:ascii="IRBadr" w:hAnsi="IRBadr" w:cs="IRBadr"/>
          <w:rtl/>
        </w:rPr>
        <w:t>جمع‌بندی</w:t>
      </w:r>
      <w:bookmarkEnd w:id="10"/>
    </w:p>
    <w:p w:rsidR="003A5CAD" w:rsidRDefault="001D2F1B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یک </w:t>
      </w:r>
      <w:r w:rsidR="008810CA" w:rsidRPr="003A5CAD">
        <w:rPr>
          <w:rFonts w:ascii="IRBadr" w:hAnsi="IRBadr" w:cs="IRBadr"/>
          <w:sz w:val="28"/>
          <w:szCs w:val="28"/>
          <w:rtl/>
          <w:lang w:bidi="fa-IR"/>
        </w:rPr>
        <w:t xml:space="preserve">مسلک این بود که بگوییم این روایات </w:t>
      </w:r>
      <w:r w:rsidR="006E7C34" w:rsidRPr="003A5CAD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="008810CA" w:rsidRPr="003A5CAD">
        <w:rPr>
          <w:rFonts w:ascii="IRBadr" w:hAnsi="IRBadr" w:cs="IRBadr"/>
          <w:sz w:val="28"/>
          <w:szCs w:val="28"/>
          <w:rtl/>
          <w:lang w:bidi="fa-IR"/>
        </w:rPr>
        <w:t xml:space="preserve"> معرض عنها است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>.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مسلک</w:t>
      </w:r>
      <w:r w:rsidR="008810CA" w:rsidRPr="003A5CAD">
        <w:rPr>
          <w:rFonts w:ascii="IRBadr" w:hAnsi="IRBadr" w:cs="IRBadr"/>
          <w:sz w:val="28"/>
          <w:szCs w:val="28"/>
          <w:rtl/>
          <w:lang w:bidi="fa-IR"/>
        </w:rPr>
        <w:t xml:space="preserve"> دوم این بود که این روایات 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>به نحو کلی معرض عنها</w:t>
      </w:r>
      <w:r w:rsidR="008810CA" w:rsidRPr="003A5CAD">
        <w:rPr>
          <w:rFonts w:ascii="IRBadr" w:hAnsi="IRBadr" w:cs="IRBadr"/>
          <w:sz w:val="28"/>
          <w:szCs w:val="28"/>
          <w:rtl/>
          <w:lang w:bidi="fa-IR"/>
        </w:rPr>
        <w:t xml:space="preserve"> نیست، بلکه معنای این روایات بیان </w:t>
      </w:r>
      <w:r w:rsidR="008810CA" w:rsidRPr="003A5CA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مصادیق تعزیر است و لذا حکم خاص تعبدی نمی‌آورد. بلکه </w:t>
      </w:r>
      <w:r w:rsidR="006E7C34" w:rsidRPr="003A5CAD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8810CA" w:rsidRPr="003A5CAD">
        <w:rPr>
          <w:rFonts w:ascii="IRBadr" w:hAnsi="IRBadr" w:cs="IRBadr"/>
          <w:sz w:val="28"/>
          <w:szCs w:val="28"/>
          <w:rtl/>
          <w:lang w:bidi="fa-IR"/>
        </w:rPr>
        <w:t xml:space="preserve"> مصداق‌های تعزیر به این‌ها 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اشاره </w:t>
      </w:r>
      <w:r w:rsidR="008810CA" w:rsidRPr="003A5CAD">
        <w:rPr>
          <w:rFonts w:ascii="IRBadr" w:hAnsi="IRBadr" w:cs="IRBadr"/>
          <w:sz w:val="28"/>
          <w:szCs w:val="28"/>
          <w:rtl/>
          <w:lang w:bidi="fa-IR"/>
        </w:rPr>
        <w:t>می‌کند.</w:t>
      </w:r>
    </w:p>
    <w:p w:rsidR="001D2F1B" w:rsidRPr="003A5CAD" w:rsidRDefault="008810CA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مسلک سوم این بود که این حکم در روایات حکم الهی است، تعزیر هم نیست که دست حاکم باشد. منتها مربوط به زمان حضور است و غیر امام نمی‌تواند این کار را انجام بدهد. مسلک چهارم هم این بود که این روایات کاملاً </w:t>
      </w:r>
      <w:r w:rsidR="001D2F1B" w:rsidRPr="003A5CAD">
        <w:rPr>
          <w:rFonts w:ascii="IRBadr" w:hAnsi="IRBadr" w:cs="IRBadr"/>
          <w:sz w:val="28"/>
          <w:szCs w:val="28"/>
          <w:rtl/>
          <w:lang w:bidi="fa-IR"/>
        </w:rPr>
        <w:t>م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قبول است، حکم الهی است، حد را ذکر می‌کند و باید این روایات را جمع کرد و جمعش </w:t>
      </w:r>
      <w:r w:rsidR="001D2F1B" w:rsidRPr="003A5CAD">
        <w:rPr>
          <w:rFonts w:ascii="IRBadr" w:hAnsi="IRBadr" w:cs="IRBadr"/>
          <w:sz w:val="28"/>
          <w:szCs w:val="28"/>
          <w:rtl/>
          <w:lang w:bidi="fa-IR"/>
        </w:rPr>
        <w:t>ما را به آن پنج مرتبه می‌رسد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به همان شکلی که ملاحظه کردید</w:t>
      </w:r>
      <w:r w:rsidR="001D2F1B" w:rsidRPr="003A5CA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810CA" w:rsidRPr="003A5CAD" w:rsidRDefault="009A7B2C" w:rsidP="003A5C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به نظر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بین اقوال،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اول صحیح است و سایر اقوال 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E7C34" w:rsidRPr="003A5CAD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  <w:r w:rsidR="00F73718" w:rsidRPr="003A5CAD">
        <w:rPr>
          <w:rFonts w:ascii="IRBadr" w:hAnsi="IRBadr" w:cs="IRBadr"/>
          <w:sz w:val="28"/>
          <w:szCs w:val="28"/>
          <w:rtl/>
          <w:lang w:bidi="fa-IR"/>
        </w:rPr>
        <w:t xml:space="preserve"> همچنین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 xml:space="preserve"> اگر فردی در حال جنون سرقت انجام </w:t>
      </w:r>
      <w:r w:rsidR="008810CA" w:rsidRPr="003A5CAD">
        <w:rPr>
          <w:rFonts w:ascii="IRBadr" w:hAnsi="IRBadr" w:cs="IRBadr"/>
          <w:sz w:val="28"/>
          <w:szCs w:val="28"/>
          <w:rtl/>
          <w:lang w:bidi="fa-IR"/>
        </w:rPr>
        <w:t>دهد چه اطباقی باشد، چه ادواری، فرقی نمی‌کند</w:t>
      </w:r>
      <w:r w:rsidRPr="003A5CA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3A5CAD" w:rsidRDefault="00152670" w:rsidP="003A5CAD">
      <w:pPr>
        <w:bidi/>
        <w:spacing w:line="360" w:lineRule="auto"/>
        <w:rPr>
          <w:rFonts w:ascii="IRBadr" w:hAnsi="IRBadr" w:cs="IRBadr"/>
          <w:rtl/>
          <w:lang w:bidi="fa-IR"/>
        </w:rPr>
      </w:pPr>
    </w:p>
    <w:sectPr w:rsidR="00152670" w:rsidRPr="003A5CAD" w:rsidSect="00461205">
      <w:headerReference w:type="default" r:id="rId7"/>
      <w:pgSz w:w="12240" w:h="15840"/>
      <w:pgMar w:top="993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A1" w:rsidRDefault="00C075A1" w:rsidP="00D93AD3">
      <w:pPr>
        <w:spacing w:after="0" w:line="240" w:lineRule="auto"/>
      </w:pPr>
      <w:r>
        <w:separator/>
      </w:r>
    </w:p>
  </w:endnote>
  <w:endnote w:type="continuationSeparator" w:id="0">
    <w:p w:rsidR="00C075A1" w:rsidRDefault="00C075A1" w:rsidP="00D9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Segoe UI Semibold"/>
    <w:charset w:val="00"/>
    <w:family w:val="auto"/>
    <w:pitch w:val="variable"/>
    <w:sig w:usb0="00000000" w:usb1="80002000" w:usb2="00000008" w:usb3="00000000" w:csb0="00000043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A1" w:rsidRDefault="00C075A1" w:rsidP="003A5CAD">
      <w:pPr>
        <w:spacing w:after="0" w:line="240" w:lineRule="auto"/>
        <w:jc w:val="right"/>
      </w:pPr>
      <w:r>
        <w:separator/>
      </w:r>
    </w:p>
  </w:footnote>
  <w:footnote w:type="continuationSeparator" w:id="0">
    <w:p w:rsidR="00C075A1" w:rsidRDefault="00C075A1" w:rsidP="00D93AD3">
      <w:pPr>
        <w:spacing w:after="0" w:line="240" w:lineRule="auto"/>
      </w:pPr>
      <w:r>
        <w:continuationSeparator/>
      </w:r>
    </w:p>
  </w:footnote>
  <w:footnote w:id="1">
    <w:p w:rsidR="009A7B2C" w:rsidRDefault="009A7B2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A7B2C">
        <w:rPr>
          <w:rFonts w:ascii="Noor_Titr" w:hAnsi="Noor_Titr" w:cs="B Badr" w:hint="cs"/>
          <w:color w:val="000000" w:themeColor="text1"/>
          <w:rtl/>
        </w:rPr>
        <w:t>ال</w:t>
      </w:r>
      <w:r w:rsidR="00F73718">
        <w:rPr>
          <w:rFonts w:ascii="Noor_Titr" w:hAnsi="Noor_Titr" w:cs="B Badr" w:hint="cs"/>
          <w:color w:val="000000" w:themeColor="text1"/>
          <w:rtl/>
        </w:rPr>
        <w:t>ک</w:t>
      </w:r>
      <w:r w:rsidRPr="009A7B2C">
        <w:rPr>
          <w:rFonts w:ascii="Noor_Titr" w:hAnsi="Noor_Titr" w:cs="B Badr" w:hint="cs"/>
          <w:color w:val="000000" w:themeColor="text1"/>
          <w:rtl/>
        </w:rPr>
        <w:t>اف</w:t>
      </w:r>
      <w:r w:rsidR="00F73718">
        <w:rPr>
          <w:rFonts w:ascii="Noor_Titr" w:hAnsi="Noor_Titr" w:cs="B Badr" w:hint="cs"/>
          <w:color w:val="000000" w:themeColor="text1"/>
          <w:rtl/>
        </w:rPr>
        <w:t>ی</w:t>
      </w:r>
      <w:r w:rsidRPr="009A7B2C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F73718">
        <w:rPr>
          <w:rFonts w:ascii="Noor_Titr" w:hAnsi="Noor_Titr" w:cs="B Badr" w:hint="cs"/>
          <w:color w:val="000000" w:themeColor="text1"/>
          <w:rtl/>
        </w:rPr>
        <w:t>ی</w:t>
      </w:r>
      <w:r w:rsidRPr="009A7B2C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F73718">
        <w:rPr>
          <w:rFonts w:ascii="Noor_Titr" w:hAnsi="Noor_Titr" w:cs="B Badr"/>
          <w:color w:val="000000" w:themeColor="text1"/>
          <w:rtl/>
        </w:rPr>
        <w:t>ج 7</w:t>
      </w:r>
      <w:r w:rsidRPr="009A7B2C">
        <w:rPr>
          <w:rFonts w:ascii="Noor_Titr" w:hAnsi="Noor_Titr" w:cs="B Badr" w:hint="cs"/>
          <w:color w:val="000000" w:themeColor="text1"/>
          <w:rtl/>
        </w:rPr>
        <w:t>، ص: 233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D3" w:rsidRPr="00D93AD3" w:rsidRDefault="00D93AD3" w:rsidP="00D93AD3">
    <w:pPr>
      <w:tabs>
        <w:tab w:val="left" w:pos="1256"/>
        <w:tab w:val="left" w:pos="5696"/>
        <w:tab w:val="right" w:pos="9071"/>
      </w:tabs>
      <w:bidi/>
      <w:spacing w:line="240" w:lineRule="auto"/>
      <w:rPr>
        <w:b/>
        <w:bCs/>
        <w:sz w:val="32"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600AC90" wp14:editId="32E8D03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3F0DD" id="Straight Connector 3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L1JAIAAEA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Ed/svU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noProof/>
      </w:rPr>
      <w:drawing>
        <wp:inline distT="0" distB="0" distL="0" distR="0" wp14:anchorId="28891897" wp14:editId="2E811254">
          <wp:extent cx="700405" cy="712470"/>
          <wp:effectExtent l="0" t="0" r="4445" b="0"/>
          <wp:docPr id="4" name="Picture 4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718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86</w:t>
    </w:r>
    <w:r>
      <w:rPr>
        <w:rFonts w:ascii="IranNastaliq" w:hAnsi="IranNastaliq" w:cs="IranNastaliq" w:hint="cs"/>
        <w:sz w:val="40"/>
        <w:szCs w:val="40"/>
        <w:rtl/>
        <w:lang w:bidi="fa-IR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CA"/>
    <w:rsid w:val="000074DA"/>
    <w:rsid w:val="000324F1"/>
    <w:rsid w:val="00052BA3"/>
    <w:rsid w:val="0006363E"/>
    <w:rsid w:val="00080DFF"/>
    <w:rsid w:val="00085ED5"/>
    <w:rsid w:val="000A1A51"/>
    <w:rsid w:val="000B037C"/>
    <w:rsid w:val="000D2D0D"/>
    <w:rsid w:val="000F1897"/>
    <w:rsid w:val="000F7E72"/>
    <w:rsid w:val="00101E2D"/>
    <w:rsid w:val="00102CEB"/>
    <w:rsid w:val="00133E1D"/>
    <w:rsid w:val="0013617D"/>
    <w:rsid w:val="00136442"/>
    <w:rsid w:val="00140B18"/>
    <w:rsid w:val="00150D4B"/>
    <w:rsid w:val="00152670"/>
    <w:rsid w:val="00166DD8"/>
    <w:rsid w:val="001712D6"/>
    <w:rsid w:val="0017536F"/>
    <w:rsid w:val="001757C8"/>
    <w:rsid w:val="00177934"/>
    <w:rsid w:val="00192A6A"/>
    <w:rsid w:val="00197CDD"/>
    <w:rsid w:val="001A3AF9"/>
    <w:rsid w:val="001C367D"/>
    <w:rsid w:val="001D24F8"/>
    <w:rsid w:val="001D2F1B"/>
    <w:rsid w:val="001E306E"/>
    <w:rsid w:val="001E3FB0"/>
    <w:rsid w:val="001E4FFF"/>
    <w:rsid w:val="001F2E3E"/>
    <w:rsid w:val="00223B72"/>
    <w:rsid w:val="00224C0A"/>
    <w:rsid w:val="002376A5"/>
    <w:rsid w:val="002417C9"/>
    <w:rsid w:val="002529C5"/>
    <w:rsid w:val="0025578A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F28"/>
    <w:rsid w:val="003A1A05"/>
    <w:rsid w:val="003A2654"/>
    <w:rsid w:val="003A5CAD"/>
    <w:rsid w:val="003C7899"/>
    <w:rsid w:val="003D2F0A"/>
    <w:rsid w:val="003D563F"/>
    <w:rsid w:val="003E1E58"/>
    <w:rsid w:val="00405199"/>
    <w:rsid w:val="00410699"/>
    <w:rsid w:val="00415360"/>
    <w:rsid w:val="0044591E"/>
    <w:rsid w:val="00461205"/>
    <w:rsid w:val="004651D2"/>
    <w:rsid w:val="00465D26"/>
    <w:rsid w:val="004679F8"/>
    <w:rsid w:val="004B337F"/>
    <w:rsid w:val="004E7BBC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088F"/>
    <w:rsid w:val="00636EFA"/>
    <w:rsid w:val="00693B0A"/>
    <w:rsid w:val="0069696C"/>
    <w:rsid w:val="006A085A"/>
    <w:rsid w:val="006D3A87"/>
    <w:rsid w:val="006E7C34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5C26"/>
    <w:rsid w:val="007B6FEB"/>
    <w:rsid w:val="007C1EF7"/>
    <w:rsid w:val="007C710E"/>
    <w:rsid w:val="007D0B88"/>
    <w:rsid w:val="007D1549"/>
    <w:rsid w:val="007E03E9"/>
    <w:rsid w:val="007E04EE"/>
    <w:rsid w:val="007E197F"/>
    <w:rsid w:val="007E7FA7"/>
    <w:rsid w:val="007F0721"/>
    <w:rsid w:val="007F4A90"/>
    <w:rsid w:val="0080799B"/>
    <w:rsid w:val="00807BE3"/>
    <w:rsid w:val="008407A4"/>
    <w:rsid w:val="00845CC4"/>
    <w:rsid w:val="008644F4"/>
    <w:rsid w:val="008810CA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7B2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60649"/>
    <w:rsid w:val="00A725C2"/>
    <w:rsid w:val="00A7355C"/>
    <w:rsid w:val="00A769EE"/>
    <w:rsid w:val="00A810A5"/>
    <w:rsid w:val="00A9616A"/>
    <w:rsid w:val="00A96F68"/>
    <w:rsid w:val="00AA2342"/>
    <w:rsid w:val="00AB49DC"/>
    <w:rsid w:val="00AD0304"/>
    <w:rsid w:val="00AD27BE"/>
    <w:rsid w:val="00AF0F1A"/>
    <w:rsid w:val="00AF4A8D"/>
    <w:rsid w:val="00B15027"/>
    <w:rsid w:val="00B21CF4"/>
    <w:rsid w:val="00B24300"/>
    <w:rsid w:val="00B63F15"/>
    <w:rsid w:val="00BA5B1F"/>
    <w:rsid w:val="00BB5F7E"/>
    <w:rsid w:val="00BD3122"/>
    <w:rsid w:val="00BD40DA"/>
    <w:rsid w:val="00C075A1"/>
    <w:rsid w:val="00C160AF"/>
    <w:rsid w:val="00C22299"/>
    <w:rsid w:val="00C25609"/>
    <w:rsid w:val="00C26607"/>
    <w:rsid w:val="00C32E98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93AD3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3718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CEB04E-F338-4634-9634-D8CEF700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074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DA"/>
    <w:rPr>
      <w:rFonts w:ascii="Tahoma" w:eastAsiaTheme="minorHAns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8810CA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D3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9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D3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7E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A7B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5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&#1588;&#1605;&#1575;&#1585;&#1607;%20&#1579;&#1576;&#157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5658-9310-49A6-AA8B-CC8A56F2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شماره ثبت</Template>
  <TotalTime>1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11</cp:revision>
  <dcterms:created xsi:type="dcterms:W3CDTF">2015-10-15T01:02:00Z</dcterms:created>
  <dcterms:modified xsi:type="dcterms:W3CDTF">2015-10-15T01:03:00Z</dcterms:modified>
</cp:coreProperties>
</file>