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B1103E" w:rsidRPr="003A4C00" w:rsidTr="00953300">
        <w:tc>
          <w:tcPr>
            <w:tcW w:w="4788" w:type="dxa"/>
          </w:tcPr>
          <w:p w:rsidR="00B1103E" w:rsidRPr="003A4C00" w:rsidRDefault="00B1103E" w:rsidP="003A4C00">
            <w:pPr>
              <w:bidi/>
              <w:jc w:val="both"/>
              <w:rPr>
                <w:rFonts w:cs="B Badr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B1103E" w:rsidRPr="003A4C00" w:rsidRDefault="00B1103E" w:rsidP="003A4C00">
            <w:pPr>
              <w:bidi/>
              <w:jc w:val="both"/>
              <w:rPr>
                <w:rFonts w:cs="B Badr"/>
                <w:sz w:val="28"/>
                <w:szCs w:val="28"/>
                <w:rtl/>
                <w:lang w:bidi="fa-IR"/>
              </w:rPr>
            </w:pPr>
          </w:p>
        </w:tc>
      </w:tr>
    </w:tbl>
    <w:p w:rsidR="008A76F4" w:rsidRDefault="008973FA" w:rsidP="008A76F4">
      <w:pPr>
        <w:bidi/>
        <w:spacing w:line="360" w:lineRule="auto"/>
        <w:jc w:val="both"/>
        <w:rPr>
          <w:noProof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1103E" w:rsidRPr="008A76F4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8A76F4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8A76F4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8A76F4">
        <w:rPr>
          <w:rFonts w:ascii="IRBadr" w:hAnsi="IRBadr" w:cs="IRBadr"/>
          <w:sz w:val="28"/>
          <w:szCs w:val="28"/>
          <w:lang w:bidi="fa-IR"/>
        </w:rPr>
        <w:instrText>TOC</w:instrText>
      </w:r>
      <w:r w:rsidR="008A76F4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8A76F4">
        <w:rPr>
          <w:rFonts w:ascii="IRBadr" w:hAnsi="IRBadr" w:cs="IRBadr"/>
          <w:sz w:val="28"/>
          <w:szCs w:val="28"/>
          <w:lang w:bidi="fa-IR"/>
        </w:rPr>
        <w:instrText>o "1-6" \h \z \u</w:instrText>
      </w:r>
      <w:r w:rsidR="008A76F4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8A76F4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8A76F4" w:rsidRDefault="008A76F4" w:rsidP="008A76F4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097" w:history="1">
        <w:r w:rsidRPr="005B5CBE">
          <w:rPr>
            <w:rStyle w:val="Hyperlink"/>
            <w:rFonts w:ascii="IRBadr" w:hAnsi="IRBadr" w:cs="IRBadr" w:hint="eastAsia"/>
            <w:noProof/>
            <w:rtl/>
          </w:rPr>
          <w:t>حد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سرقت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A76F4" w:rsidRDefault="008A76F4" w:rsidP="008A76F4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098" w:history="1">
        <w:r w:rsidRPr="005B5CBE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سابق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A76F4" w:rsidRDefault="008A76F4" w:rsidP="008A76F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099" w:history="1">
        <w:r w:rsidRPr="005B5CBE">
          <w:rPr>
            <w:rStyle w:val="Hyperlink"/>
            <w:rFonts w:ascii="IRBadr" w:hAnsi="IRBadr" w:cs="IRBadr" w:hint="eastAsia"/>
            <w:noProof/>
            <w:rtl/>
          </w:rPr>
          <w:t>الحاق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مادر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به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پدر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A76F4" w:rsidRDefault="008A76F4" w:rsidP="008A76F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100" w:history="1">
        <w:r w:rsidRPr="005B5CBE">
          <w:rPr>
            <w:rStyle w:val="Hyperlink"/>
            <w:rFonts w:ascii="IRBadr" w:hAnsi="IRBadr" w:cs="IRBadr" w:hint="eastAsia"/>
            <w:noProof/>
            <w:rtl/>
          </w:rPr>
          <w:t>قوام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تنق</w:t>
        </w:r>
        <w:r w:rsidRPr="005B5CBE">
          <w:rPr>
            <w:rStyle w:val="Hyperlink"/>
            <w:rFonts w:ascii="IRBadr" w:hAnsi="IRBadr" w:cs="IRBadr" w:hint="cs"/>
            <w:noProof/>
            <w:rtl/>
          </w:rPr>
          <w:t>ی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ح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مناط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A76F4" w:rsidRDefault="008A76F4" w:rsidP="008A76F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101" w:history="1">
        <w:r w:rsidRPr="005B5CBE">
          <w:rPr>
            <w:rStyle w:val="Hyperlink"/>
            <w:rFonts w:ascii="IRBadr" w:hAnsi="IRBadr" w:cs="IRBadr" w:hint="eastAsia"/>
            <w:noProof/>
            <w:rtl/>
          </w:rPr>
          <w:t>تنق</w:t>
        </w:r>
        <w:r w:rsidRPr="005B5CBE">
          <w:rPr>
            <w:rStyle w:val="Hyperlink"/>
            <w:rFonts w:ascii="IRBadr" w:hAnsi="IRBadr" w:cs="IRBadr" w:hint="cs"/>
            <w:noProof/>
            <w:rtl/>
          </w:rPr>
          <w:t>ی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ح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مناط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خاصه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76F4" w:rsidRDefault="008A76F4" w:rsidP="008A76F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102" w:history="1">
        <w:r w:rsidRPr="005B5CBE">
          <w:rPr>
            <w:rStyle w:val="Hyperlink"/>
            <w:rFonts w:ascii="IRBadr" w:hAnsi="IRBadr" w:cs="IRBadr" w:hint="eastAsia"/>
            <w:noProof/>
            <w:rtl/>
          </w:rPr>
          <w:t>دل</w:t>
        </w:r>
        <w:r w:rsidRPr="005B5CBE">
          <w:rPr>
            <w:rStyle w:val="Hyperlink"/>
            <w:rFonts w:ascii="IRBadr" w:hAnsi="IRBadr" w:cs="IRBadr" w:hint="cs"/>
            <w:noProof/>
            <w:rtl/>
          </w:rPr>
          <w:t>ی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ل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76F4" w:rsidRDefault="008A76F4" w:rsidP="008A76F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103" w:history="1">
        <w:r w:rsidRPr="005B5CBE">
          <w:rPr>
            <w:rStyle w:val="Hyperlink"/>
            <w:rFonts w:ascii="IRBadr" w:hAnsi="IRBadr" w:cs="IRBadr" w:hint="eastAsia"/>
            <w:noProof/>
            <w:rtl/>
          </w:rPr>
          <w:t>مناقشه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استدلال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76F4" w:rsidRDefault="008A76F4" w:rsidP="008A76F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104" w:history="1">
        <w:r w:rsidRPr="005B5CBE">
          <w:rPr>
            <w:rStyle w:val="Hyperlink"/>
            <w:rFonts w:ascii="IRBadr" w:hAnsi="IRBadr" w:cs="IRBadr" w:hint="eastAsia"/>
            <w:noProof/>
            <w:rtl/>
          </w:rPr>
          <w:t>مناقشه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76F4" w:rsidRDefault="008A76F4" w:rsidP="008A76F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105" w:history="1">
        <w:r w:rsidRPr="005B5CBE">
          <w:rPr>
            <w:rStyle w:val="Hyperlink"/>
            <w:rFonts w:ascii="IRBadr" w:hAnsi="IRBadr" w:cs="IRBadr" w:hint="eastAsia"/>
            <w:noProof/>
            <w:rtl/>
          </w:rPr>
          <w:t>مناقشه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76F4" w:rsidRDefault="008A76F4" w:rsidP="008A76F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106" w:history="1">
        <w:r w:rsidRPr="005B5CBE">
          <w:rPr>
            <w:rStyle w:val="Hyperlink"/>
            <w:rFonts w:ascii="IRBadr" w:hAnsi="IRBadr" w:cs="IRBadr" w:hint="eastAsia"/>
            <w:noProof/>
            <w:rtl/>
          </w:rPr>
          <w:t>جواب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نقض</w:t>
        </w:r>
        <w:r w:rsidRPr="005B5CBE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76F4" w:rsidRDefault="008A76F4" w:rsidP="008A76F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107" w:history="1">
        <w:r w:rsidRPr="005B5CBE">
          <w:rPr>
            <w:rStyle w:val="Hyperlink"/>
            <w:rFonts w:ascii="IRBadr" w:hAnsi="IRBadr" w:cs="IRBadr" w:hint="eastAsia"/>
            <w:noProof/>
            <w:rtl/>
          </w:rPr>
          <w:t>فرض</w:t>
        </w:r>
        <w:r w:rsidRPr="005B5CBE">
          <w:rPr>
            <w:rStyle w:val="Hyperlink"/>
            <w:rFonts w:ascii="IRBadr" w:hAnsi="IRBadr" w:cs="IRBadr" w:hint="cs"/>
            <w:noProof/>
            <w:rtl/>
          </w:rPr>
          <w:t>ی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ه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مطالبه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ا</w:t>
        </w:r>
        <w:r w:rsidRPr="005B5CBE">
          <w:rPr>
            <w:rStyle w:val="Hyperlink"/>
            <w:rFonts w:ascii="IRBadr" w:hAnsi="IRBadr" w:cs="IRBadr" w:hint="cs"/>
            <w:noProof/>
            <w:rtl/>
          </w:rPr>
          <w:t>ی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76F4" w:rsidRDefault="008A76F4" w:rsidP="008A76F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108" w:history="1">
        <w:r w:rsidRPr="005B5CBE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76F4" w:rsidRDefault="008A76F4" w:rsidP="008A76F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8109" w:history="1">
        <w:r w:rsidRPr="005B5CBE">
          <w:rPr>
            <w:rStyle w:val="Hyperlink"/>
            <w:rFonts w:ascii="IRBadr" w:hAnsi="IRBadr" w:cs="IRBadr" w:hint="eastAsia"/>
            <w:noProof/>
            <w:rtl/>
          </w:rPr>
          <w:t>شمول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حکم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نسبت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به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پدر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رضاع</w:t>
        </w:r>
        <w:r w:rsidRPr="005B5CBE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A76F4" w:rsidRDefault="008A76F4" w:rsidP="008A76F4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8110" w:history="1">
        <w:r w:rsidRPr="005B5CBE">
          <w:rPr>
            <w:rStyle w:val="Hyperlink"/>
            <w:rFonts w:ascii="IRBadr" w:hAnsi="IRBadr" w:cs="IRBadr" w:hint="eastAsia"/>
            <w:noProof/>
            <w:rtl/>
          </w:rPr>
          <w:t>مورد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استثناء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A76F4" w:rsidRDefault="008A76F4" w:rsidP="008A76F4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8111" w:history="1">
        <w:r w:rsidRPr="005B5CBE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r w:rsidRPr="005B5CBE">
          <w:rPr>
            <w:rStyle w:val="Hyperlink"/>
            <w:rFonts w:ascii="IRBadr" w:hAnsi="IRBadr" w:cs="IRBadr" w:hint="cs"/>
            <w:noProof/>
            <w:rtl/>
          </w:rPr>
          <w:t>ی</w:t>
        </w:r>
        <w:r w:rsidRPr="005B5CB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5B5CBE">
          <w:rPr>
            <w:rStyle w:val="Hyperlink"/>
            <w:rFonts w:ascii="IRBadr" w:hAnsi="IRBadr" w:cs="IRBadr"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1103E" w:rsidRDefault="008A76F4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8A76F4" w:rsidRDefault="008A76F4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020105" w:rsidRPr="008A76F4" w:rsidRDefault="00020105" w:rsidP="008A76F4">
      <w:pPr>
        <w:pStyle w:val="Heading1"/>
        <w:spacing w:line="360" w:lineRule="auto"/>
        <w:rPr>
          <w:rFonts w:ascii="IRBadr" w:hAnsi="IRBadr" w:cs="IRBadr"/>
          <w:rtl/>
        </w:rPr>
      </w:pPr>
      <w:bookmarkStart w:id="0" w:name="_Toc432608097"/>
      <w:r w:rsidRPr="008A76F4">
        <w:rPr>
          <w:rFonts w:ascii="IRBadr" w:hAnsi="IRBadr" w:cs="IRBadr"/>
          <w:rtl/>
        </w:rPr>
        <w:t>حد سرقت</w:t>
      </w:r>
      <w:bookmarkEnd w:id="0"/>
    </w:p>
    <w:p w:rsidR="00020105" w:rsidRPr="008A76F4" w:rsidRDefault="00020105" w:rsidP="008A76F4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2608098"/>
      <w:r w:rsidRPr="008A76F4">
        <w:rPr>
          <w:rFonts w:ascii="IRBadr" w:hAnsi="IRBadr" w:cs="IRBadr"/>
          <w:rtl/>
        </w:rPr>
        <w:t>مرور بحث سابق</w:t>
      </w:r>
      <w:bookmarkEnd w:id="1"/>
    </w:p>
    <w:p w:rsidR="00020105" w:rsidRPr="008A76F4" w:rsidRDefault="00D33F2D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>شرط هشتمی که در شروط حد سرقت ذکر شد این بود که سارق والد مسروق منه نباشد،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نسبت به سایر اقرباء اختلافاتی وجود داشت،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بیان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شد که </w:t>
      </w:r>
      <w:r w:rsidR="00A40FCF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سه قول وجود دارد که در برخی موارد نظر عامه با ما کاملاً متفاوت بود.</w:t>
      </w:r>
    </w:p>
    <w:p w:rsidR="00D33F2D" w:rsidRPr="008A76F4" w:rsidRDefault="00D33F2D" w:rsidP="008A76F4">
      <w:pPr>
        <w:pStyle w:val="Heading2"/>
        <w:spacing w:line="360" w:lineRule="auto"/>
        <w:rPr>
          <w:rFonts w:ascii="IRBadr" w:hAnsi="IRBadr" w:cs="IRBadr"/>
          <w:rtl/>
        </w:rPr>
      </w:pPr>
      <w:bookmarkStart w:id="2" w:name="_Toc432608099"/>
      <w:r w:rsidRPr="008A76F4">
        <w:rPr>
          <w:rFonts w:ascii="IRBadr" w:hAnsi="IRBadr" w:cs="IRBadr"/>
          <w:rtl/>
        </w:rPr>
        <w:t>الحاق مادر به پدر</w:t>
      </w:r>
      <w:bookmarkEnd w:id="2"/>
    </w:p>
    <w:p w:rsidR="00D33F2D" w:rsidRPr="008A76F4" w:rsidRDefault="00D33F2D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>الحاق والدة به والد در نزد عامه با تنقیح مناط صورت گرفته است با این بیان که؛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احترام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و کرامت مادر کمتر از پدر نیست. </w:t>
      </w:r>
      <w:r w:rsidR="00B1103E" w:rsidRPr="008A76F4">
        <w:rPr>
          <w:rFonts w:ascii="IRBadr" w:hAnsi="IRBadr" w:cs="IRBadr"/>
          <w:sz w:val="28"/>
          <w:szCs w:val="28"/>
          <w:rtl/>
          <w:lang w:bidi="fa-IR"/>
        </w:rPr>
        <w:t xml:space="preserve">به همان دلیلی که پدر مورد عفو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lastRenderedPageBreak/>
        <w:t>قرارگرفته</w:t>
      </w:r>
      <w:r w:rsidR="00B1103E" w:rsidRPr="008A76F4">
        <w:rPr>
          <w:rFonts w:ascii="IRBadr" w:hAnsi="IRBadr" w:cs="IRBadr"/>
          <w:sz w:val="28"/>
          <w:szCs w:val="28"/>
          <w:rtl/>
          <w:lang w:bidi="fa-IR"/>
        </w:rPr>
        <w:t xml:space="preserve"> و قطع ید از او برداشته شد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>، به همان دلیل مادر هم باید معفو</w:t>
      </w:r>
      <w:r w:rsidR="00B1103E" w:rsidRPr="008A76F4">
        <w:rPr>
          <w:rFonts w:ascii="IRBadr" w:hAnsi="IRBadr" w:cs="IRBadr"/>
          <w:sz w:val="28"/>
          <w:szCs w:val="28"/>
          <w:rtl/>
          <w:lang w:bidi="fa-IR"/>
        </w:rPr>
        <w:t xml:space="preserve"> باشد و قطع ید نشود.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="00B1103E" w:rsidRPr="008A76F4">
        <w:rPr>
          <w:rFonts w:ascii="IRBadr" w:hAnsi="IRBadr" w:cs="IRBadr"/>
          <w:sz w:val="28"/>
          <w:szCs w:val="28"/>
          <w:rtl/>
          <w:lang w:bidi="fa-IR"/>
        </w:rPr>
        <w:t xml:space="preserve"> وجه است که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="00B1103E" w:rsidRPr="008A76F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D33F2D" w:rsidRPr="008A76F4" w:rsidRDefault="00B1103E" w:rsidP="008A76F4">
      <w:pPr>
        <w:pStyle w:val="Heading2"/>
        <w:spacing w:line="360" w:lineRule="auto"/>
        <w:rPr>
          <w:rFonts w:ascii="IRBadr" w:hAnsi="IRBadr" w:cs="IRBadr"/>
          <w:rtl/>
        </w:rPr>
      </w:pPr>
      <w:r w:rsidRPr="008A76F4">
        <w:rPr>
          <w:rFonts w:ascii="IRBadr" w:hAnsi="IRBadr" w:cs="IRBadr"/>
          <w:rtl/>
        </w:rPr>
        <w:t xml:space="preserve"> </w:t>
      </w:r>
      <w:bookmarkStart w:id="3" w:name="_Toc432608100"/>
      <w:r w:rsidR="00D33F2D" w:rsidRPr="008A76F4">
        <w:rPr>
          <w:rFonts w:ascii="IRBadr" w:hAnsi="IRBadr" w:cs="IRBadr"/>
          <w:rtl/>
        </w:rPr>
        <w:t>قوام تنقیح مناط</w:t>
      </w:r>
      <w:bookmarkEnd w:id="3"/>
    </w:p>
    <w:p w:rsidR="00D33F2D" w:rsidRPr="008A76F4" w:rsidRDefault="00B1103E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این وجه اشبه به قیاس است تا یک وجه درست، چون مرز بین قیاس و تنقیح مناط یک مرز </w:t>
      </w:r>
      <w:r w:rsidR="00D33F2D" w:rsidRPr="008A76F4">
        <w:rPr>
          <w:rFonts w:ascii="IRBadr" w:hAnsi="IRBadr" w:cs="IRBadr"/>
          <w:sz w:val="28"/>
          <w:szCs w:val="28"/>
          <w:rtl/>
          <w:lang w:bidi="fa-IR"/>
        </w:rPr>
        <w:t>بسیار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ظریف و دقیقی است. اگر انسان در حکم به مناط قطعی رسید،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قابل تسری است و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آن مناط اطمینانی نباشد، دیگر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>قیاس</w:t>
      </w:r>
      <w:r w:rsidR="00D33F2D" w:rsidRPr="008A76F4">
        <w:rPr>
          <w:rFonts w:ascii="IRBadr" w:hAnsi="IRBadr" w:cs="IRBadr"/>
          <w:sz w:val="28"/>
          <w:szCs w:val="28"/>
          <w:rtl/>
          <w:lang w:bidi="fa-IR"/>
        </w:rPr>
        <w:t xml:space="preserve"> می‌شود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83578" w:rsidRPr="008A76F4" w:rsidRDefault="00B1103E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>قوام تنقیح مناط به دو ن</w:t>
      </w:r>
      <w:r w:rsidR="00D33F2D" w:rsidRPr="008A76F4">
        <w:rPr>
          <w:rFonts w:ascii="IRBadr" w:hAnsi="IRBadr" w:cs="IRBadr"/>
          <w:sz w:val="28"/>
          <w:szCs w:val="28"/>
          <w:rtl/>
          <w:lang w:bidi="fa-IR"/>
        </w:rPr>
        <w:t xml:space="preserve">کته است. یعنی دو شاخص باید جمع 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>شود تا تنقیح مناط</w:t>
      </w:r>
      <w:r w:rsidR="00D33F2D" w:rsidRPr="008A76F4">
        <w:rPr>
          <w:rFonts w:ascii="IRBadr" w:hAnsi="IRBadr" w:cs="IRBadr"/>
          <w:sz w:val="28"/>
          <w:szCs w:val="28"/>
          <w:rtl/>
          <w:lang w:bidi="fa-IR"/>
        </w:rPr>
        <w:t xml:space="preserve"> نمود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، تا بشود حکم را از موردی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به‌جای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دیگری سرایت داد. یک</w:t>
      </w:r>
      <w:r w:rsidR="00D33F2D" w:rsidRPr="008A76F4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اینکه آن مناط را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علت بشناسیم، نه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D33F2D" w:rsidRPr="008A76F4">
        <w:rPr>
          <w:rFonts w:ascii="IRBadr" w:hAnsi="IRBadr" w:cs="IRBadr"/>
          <w:sz w:val="28"/>
          <w:szCs w:val="28"/>
          <w:rtl/>
          <w:lang w:bidi="fa-IR"/>
        </w:rPr>
        <w:t xml:space="preserve"> حکمت. </w:t>
      </w:r>
      <w:r w:rsidR="00D33F2D" w:rsidRPr="008A76F4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یعنی کشف علت 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کنیم و دوم اینکه این کشف هم کشف اطمینانی و قطعی باشد.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اگر یکی</w:t>
      </w:r>
      <w:r w:rsidR="00D33F2D" w:rsidRPr="008A76F4">
        <w:rPr>
          <w:rFonts w:ascii="IRBadr" w:hAnsi="IRBadr" w:cs="IRBadr"/>
          <w:sz w:val="28"/>
          <w:szCs w:val="28"/>
          <w:rtl/>
          <w:lang w:bidi="fa-IR"/>
        </w:rPr>
        <w:t xml:space="preserve"> از این دو رکن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>اختلاف پیدا کرد، این</w:t>
      </w:r>
      <w:r w:rsidR="00D33F2D" w:rsidRPr="008A76F4">
        <w:rPr>
          <w:rFonts w:ascii="IRBadr" w:hAnsi="IRBadr" w:cs="IRBadr"/>
          <w:sz w:val="28"/>
          <w:szCs w:val="28"/>
          <w:rtl/>
          <w:lang w:bidi="fa-IR"/>
        </w:rPr>
        <w:t xml:space="preserve"> استدلال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از تنقیح مناط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>به سمت قیاس</w:t>
      </w:r>
      <w:r w:rsidR="00D33F2D" w:rsidRPr="008A76F4">
        <w:rPr>
          <w:rFonts w:ascii="IRBadr" w:hAnsi="IRBadr" w:cs="IRBadr"/>
          <w:sz w:val="28"/>
          <w:szCs w:val="28"/>
          <w:rtl/>
          <w:lang w:bidi="fa-IR"/>
        </w:rPr>
        <w:t xml:space="preserve"> می‌آید</w:t>
      </w:r>
      <w:r w:rsidR="00883578" w:rsidRPr="008A76F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83578" w:rsidRPr="008A76F4" w:rsidRDefault="00883578" w:rsidP="008A76F4">
      <w:pPr>
        <w:pStyle w:val="Heading2"/>
        <w:spacing w:line="360" w:lineRule="auto"/>
        <w:rPr>
          <w:rFonts w:ascii="IRBadr" w:hAnsi="IRBadr" w:cs="IRBadr"/>
          <w:rtl/>
        </w:rPr>
      </w:pPr>
      <w:bookmarkStart w:id="4" w:name="_Toc432608101"/>
      <w:r w:rsidRPr="008A76F4">
        <w:rPr>
          <w:rFonts w:ascii="IRBadr" w:hAnsi="IRBadr" w:cs="IRBadr"/>
          <w:rtl/>
        </w:rPr>
        <w:t>تنقیح مناط در خاصه</w:t>
      </w:r>
      <w:bookmarkEnd w:id="4"/>
    </w:p>
    <w:p w:rsidR="00883578" w:rsidRPr="008A76F4" w:rsidRDefault="00883578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این استدلال در نزد ما مخدوش است، </w:t>
      </w:r>
      <w:r w:rsidR="00B1103E" w:rsidRPr="008A76F4">
        <w:rPr>
          <w:rFonts w:ascii="IRBadr" w:hAnsi="IRBadr" w:cs="IRBadr"/>
          <w:sz w:val="28"/>
          <w:szCs w:val="28"/>
          <w:rtl/>
          <w:lang w:bidi="fa-IR"/>
        </w:rPr>
        <w:t>برای اینکه بین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والد و والده در فقه تفاوت زیادی وجود دارد.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درست</w:t>
      </w:r>
      <w:r w:rsidR="00B1103E" w:rsidRPr="008A76F4">
        <w:rPr>
          <w:rFonts w:ascii="IRBadr" w:hAnsi="IRBadr" w:cs="IRBadr"/>
          <w:sz w:val="28"/>
          <w:szCs w:val="28"/>
          <w:rtl/>
          <w:lang w:bidi="fa-IR"/>
        </w:rPr>
        <w:t xml:space="preserve"> است که کرامت و تکریم والده 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>بسیار</w:t>
      </w:r>
      <w:r w:rsidR="00B1103E" w:rsidRPr="008A76F4">
        <w:rPr>
          <w:rFonts w:ascii="IRBadr" w:hAnsi="IRBadr" w:cs="IRBadr"/>
          <w:sz w:val="28"/>
          <w:szCs w:val="28"/>
          <w:rtl/>
          <w:lang w:bidi="fa-IR"/>
        </w:rPr>
        <w:t xml:space="preserve"> مهم است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B1103E" w:rsidRPr="008A76F4">
        <w:rPr>
          <w:rFonts w:ascii="IRBadr" w:hAnsi="IRBadr" w:cs="IRBadr"/>
          <w:sz w:val="28"/>
          <w:szCs w:val="28"/>
          <w:rtl/>
          <w:lang w:bidi="fa-IR"/>
        </w:rPr>
        <w:t xml:space="preserve"> در روایات به لحاظ اخلاقی و حفظ حرمت حقوق و احترام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نگه‌داشتن</w:t>
      </w:r>
      <w:r w:rsidR="00B1103E" w:rsidRPr="008A76F4">
        <w:rPr>
          <w:rFonts w:ascii="IRBadr" w:hAnsi="IRBadr" w:cs="IRBadr"/>
          <w:sz w:val="28"/>
          <w:szCs w:val="28"/>
          <w:rtl/>
          <w:lang w:bidi="fa-IR"/>
        </w:rPr>
        <w:t xml:space="preserve"> نسبت به مادر، بیشتر از پدر هم تأکید شده است. اما به لحاظ حقوقی تفاوت‌هایی دارند.</w:t>
      </w:r>
    </w:p>
    <w:p w:rsidR="00883578" w:rsidRPr="008A76F4" w:rsidRDefault="00883578" w:rsidP="008A76F4">
      <w:pPr>
        <w:pStyle w:val="Heading2"/>
        <w:spacing w:line="360" w:lineRule="auto"/>
        <w:rPr>
          <w:rFonts w:ascii="IRBadr" w:hAnsi="IRBadr" w:cs="IRBadr"/>
          <w:rtl/>
        </w:rPr>
      </w:pPr>
      <w:bookmarkStart w:id="5" w:name="_Toc432608102"/>
      <w:r w:rsidRPr="008A76F4">
        <w:rPr>
          <w:rFonts w:ascii="IRBadr" w:hAnsi="IRBadr" w:cs="IRBadr"/>
          <w:rtl/>
        </w:rPr>
        <w:lastRenderedPageBreak/>
        <w:t>دلیل دوم</w:t>
      </w:r>
      <w:bookmarkEnd w:id="5"/>
    </w:p>
    <w:p w:rsidR="00883578" w:rsidRPr="008A76F4" w:rsidRDefault="00B1103E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دلیل دومی که مورد استدلال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قراردادند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این است که ما د</w:t>
      </w:r>
      <w:r w:rsidR="00883578" w:rsidRPr="008A76F4">
        <w:rPr>
          <w:rFonts w:ascii="IRBadr" w:hAnsi="IRBadr" w:cs="IRBadr"/>
          <w:sz w:val="28"/>
          <w:szCs w:val="28"/>
          <w:rtl/>
          <w:lang w:bidi="fa-IR"/>
        </w:rPr>
        <w:t>ر آیه شریفه قرآن و روایات داریم؛</w:t>
      </w:r>
    </w:p>
    <w:p w:rsidR="00434918" w:rsidRPr="008A76F4" w:rsidRDefault="00434918" w:rsidP="008A76F4">
      <w:pPr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b/>
          <w:bCs/>
          <w:sz w:val="28"/>
          <w:szCs w:val="28"/>
          <w:rtl/>
          <w:lang w:bidi="fa-IR"/>
        </w:rPr>
        <w:t>«فَلا تَقُلْ لَهُما أُفٍّ وَ لا تَنْهَرْهُما»</w:t>
      </w:r>
      <w:r w:rsidRPr="008A76F4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883578" w:rsidRPr="008A76F4" w:rsidRDefault="00434918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>،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بااین‌حال</w:t>
      </w:r>
      <w:r w:rsidR="00883578" w:rsidRPr="008A76F4">
        <w:rPr>
          <w:rFonts w:ascii="IRBadr" w:hAnsi="IRBadr" w:cs="IRBadr"/>
          <w:sz w:val="28"/>
          <w:szCs w:val="28"/>
          <w:rtl/>
          <w:lang w:bidi="fa-IR"/>
        </w:rPr>
        <w:t xml:space="preserve"> توجه شود؛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اجرای</w:t>
      </w:r>
      <w:r w:rsidR="00883578" w:rsidRPr="008A76F4">
        <w:rPr>
          <w:rFonts w:ascii="IRBadr" w:hAnsi="IRBadr" w:cs="IRBadr"/>
          <w:sz w:val="28"/>
          <w:szCs w:val="28"/>
          <w:rtl/>
          <w:lang w:bidi="fa-IR"/>
        </w:rPr>
        <w:t xml:space="preserve"> حد سرقت متوقف بر مطالبه آن از مسروق است، در اینجا نیز وقتی مادرش دزدی نموده اگر بخواهد حد بر او جاری شود باید این مطالبه را انجام دهد و این مطالبه با آیه شریفه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883578" w:rsidRPr="008A76F4">
        <w:rPr>
          <w:rFonts w:ascii="IRBadr" w:hAnsi="IRBadr" w:cs="IRBadr"/>
          <w:sz w:val="28"/>
          <w:szCs w:val="28"/>
          <w:rtl/>
          <w:lang w:bidi="fa-IR"/>
        </w:rPr>
        <w:t xml:space="preserve"> سازگار نیست. چراکه بدون شک این امر موجب ایذای مادر خواهد شد.</w:t>
      </w:r>
    </w:p>
    <w:p w:rsidR="00883578" w:rsidRPr="008A76F4" w:rsidRDefault="00883578" w:rsidP="008A76F4">
      <w:pPr>
        <w:pStyle w:val="Heading2"/>
        <w:spacing w:line="360" w:lineRule="auto"/>
        <w:rPr>
          <w:rFonts w:ascii="IRBadr" w:hAnsi="IRBadr" w:cs="IRBadr"/>
          <w:rtl/>
        </w:rPr>
      </w:pPr>
      <w:bookmarkStart w:id="6" w:name="_Toc432608103"/>
      <w:r w:rsidRPr="008A76F4">
        <w:rPr>
          <w:rFonts w:ascii="IRBadr" w:hAnsi="IRBadr" w:cs="IRBadr"/>
          <w:rtl/>
        </w:rPr>
        <w:lastRenderedPageBreak/>
        <w:t>مناقشه در استدلال فوق</w:t>
      </w:r>
      <w:bookmarkEnd w:id="6"/>
    </w:p>
    <w:p w:rsidR="00883578" w:rsidRPr="008A76F4" w:rsidRDefault="00883578" w:rsidP="008A76F4">
      <w:pPr>
        <w:pStyle w:val="Heading2"/>
        <w:spacing w:line="360" w:lineRule="auto"/>
        <w:rPr>
          <w:rFonts w:ascii="IRBadr" w:hAnsi="IRBadr" w:cs="IRBadr"/>
          <w:rtl/>
        </w:rPr>
      </w:pPr>
      <w:bookmarkStart w:id="7" w:name="_Toc432608104"/>
      <w:r w:rsidRPr="008A76F4">
        <w:rPr>
          <w:rFonts w:ascii="IRBadr" w:hAnsi="IRBadr" w:cs="IRBadr"/>
          <w:rtl/>
        </w:rPr>
        <w:t>مناقشه اول</w:t>
      </w:r>
      <w:bookmarkEnd w:id="7"/>
    </w:p>
    <w:p w:rsidR="00883578" w:rsidRPr="008A76F4" w:rsidRDefault="00883578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>هرچند مطالبه نیز حرام باشد،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این مانع از اجرای حد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برفرض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اجتماع شرایط نخواهد بود. به عبارتی </w:t>
      </w:r>
      <w:r w:rsidR="00B1103E" w:rsidRPr="008A76F4">
        <w:rPr>
          <w:rFonts w:ascii="IRBadr" w:hAnsi="IRBadr" w:cs="IRBadr"/>
          <w:sz w:val="28"/>
          <w:szCs w:val="28"/>
          <w:rtl/>
          <w:lang w:bidi="fa-IR"/>
        </w:rPr>
        <w:t>ثبوت حد سرقت، متوقف نیست که همه مقدماتش مقدمات جایز باشد.</w:t>
      </w:r>
    </w:p>
    <w:p w:rsidR="00883578" w:rsidRPr="008A76F4" w:rsidRDefault="00883578" w:rsidP="008A76F4">
      <w:pPr>
        <w:pStyle w:val="Heading2"/>
        <w:spacing w:line="360" w:lineRule="auto"/>
        <w:rPr>
          <w:rFonts w:ascii="IRBadr" w:hAnsi="IRBadr" w:cs="IRBadr"/>
          <w:rtl/>
        </w:rPr>
      </w:pPr>
      <w:bookmarkStart w:id="8" w:name="_Toc432608105"/>
      <w:r w:rsidRPr="008A76F4">
        <w:rPr>
          <w:rFonts w:ascii="IRBadr" w:hAnsi="IRBadr" w:cs="IRBadr"/>
          <w:rtl/>
        </w:rPr>
        <w:t>مناقشه دوم</w:t>
      </w:r>
      <w:bookmarkEnd w:id="8"/>
    </w:p>
    <w:p w:rsidR="00883578" w:rsidRPr="008A76F4" w:rsidRDefault="008973FA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883578" w:rsidRPr="008A76F4">
        <w:rPr>
          <w:rFonts w:ascii="IRBadr" w:hAnsi="IRBadr" w:cs="IRBadr"/>
          <w:sz w:val="28"/>
          <w:szCs w:val="28"/>
          <w:rtl/>
          <w:lang w:bidi="fa-IR"/>
        </w:rPr>
        <w:t xml:space="preserve"> که از ایذاء منع 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883578" w:rsidRPr="008A76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1103E" w:rsidRPr="008A76F4">
        <w:rPr>
          <w:rFonts w:ascii="IRBadr" w:hAnsi="IRBadr" w:cs="IRBadr"/>
          <w:sz w:val="28"/>
          <w:szCs w:val="28"/>
          <w:rtl/>
          <w:lang w:bidi="fa-IR"/>
        </w:rPr>
        <w:t>در صورتی است که مزاحم با حکم الهی نشده باشد. والا</w:t>
      </w:r>
      <w:r w:rsidR="00883578" w:rsidRPr="008A76F4">
        <w:rPr>
          <w:rFonts w:ascii="IRBadr" w:hAnsi="IRBadr" w:cs="IRBadr"/>
          <w:sz w:val="28"/>
          <w:szCs w:val="28"/>
          <w:rtl/>
          <w:lang w:bidi="fa-IR"/>
        </w:rPr>
        <w:t xml:space="preserve"> ممکن است در خیلی از موارد همچون 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="00883578" w:rsidRPr="008A76F4">
        <w:rPr>
          <w:rFonts w:ascii="IRBadr" w:hAnsi="IRBadr" w:cs="IRBadr"/>
          <w:sz w:val="28"/>
          <w:szCs w:val="28"/>
          <w:rtl/>
          <w:lang w:bidi="fa-IR"/>
        </w:rPr>
        <w:t xml:space="preserve"> نیز آنان ناراحت شوند.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درنتیجه</w:t>
      </w:r>
      <w:r w:rsidR="00B1103E" w:rsidRPr="008A76F4">
        <w:rPr>
          <w:rFonts w:ascii="IRBadr" w:hAnsi="IRBadr" w:cs="IRBadr"/>
          <w:sz w:val="28"/>
          <w:szCs w:val="28"/>
          <w:rtl/>
          <w:lang w:bidi="fa-IR"/>
        </w:rPr>
        <w:t xml:space="preserve"> حکم الهی مقدم بر این است که او ناراحت بشود.</w:t>
      </w:r>
    </w:p>
    <w:p w:rsidR="00883578" w:rsidRPr="008A76F4" w:rsidRDefault="00883578" w:rsidP="008A76F4">
      <w:pPr>
        <w:pStyle w:val="Heading2"/>
        <w:spacing w:line="360" w:lineRule="auto"/>
        <w:rPr>
          <w:rFonts w:ascii="IRBadr" w:hAnsi="IRBadr" w:cs="IRBadr"/>
          <w:rtl/>
        </w:rPr>
      </w:pPr>
      <w:bookmarkStart w:id="9" w:name="_Toc432608106"/>
      <w:r w:rsidRPr="008A76F4">
        <w:rPr>
          <w:rFonts w:ascii="IRBadr" w:hAnsi="IRBadr" w:cs="IRBadr"/>
          <w:rtl/>
        </w:rPr>
        <w:lastRenderedPageBreak/>
        <w:t>جواب نقضی</w:t>
      </w:r>
      <w:bookmarkEnd w:id="9"/>
    </w:p>
    <w:p w:rsidR="00E35E07" w:rsidRPr="008A76F4" w:rsidRDefault="00B1103E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اگر بخواهیم جواب نقضی بدهیم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که ایذاء مؤمن هم حرام است.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نمی‌شود</w:t>
      </w:r>
      <w:r w:rsidR="00E35E07" w:rsidRPr="008A76F4">
        <w:rPr>
          <w:rFonts w:ascii="IRBadr" w:hAnsi="IRBadr" w:cs="IRBadr"/>
          <w:sz w:val="28"/>
          <w:szCs w:val="28"/>
          <w:rtl/>
          <w:lang w:bidi="fa-IR"/>
        </w:rPr>
        <w:t xml:space="preserve"> گفت بدین خاطر مطالبه حق نسبت به مؤمن نیز نباید صورت بگیرد.</w:t>
      </w:r>
    </w:p>
    <w:p w:rsidR="00E35E07" w:rsidRPr="008A76F4" w:rsidRDefault="00E35E07" w:rsidP="008A76F4">
      <w:pPr>
        <w:pStyle w:val="Heading2"/>
        <w:spacing w:line="360" w:lineRule="auto"/>
        <w:rPr>
          <w:rFonts w:ascii="IRBadr" w:hAnsi="IRBadr" w:cs="IRBadr"/>
          <w:rtl/>
        </w:rPr>
      </w:pPr>
      <w:bookmarkStart w:id="10" w:name="_Toc432608107"/>
      <w:r w:rsidRPr="008A76F4">
        <w:rPr>
          <w:rFonts w:ascii="IRBadr" w:hAnsi="IRBadr" w:cs="IRBadr"/>
          <w:rtl/>
        </w:rPr>
        <w:t>فرضیه مطالبه در این مقام</w:t>
      </w:r>
      <w:bookmarkEnd w:id="10"/>
    </w:p>
    <w:p w:rsidR="00E35E07" w:rsidRPr="008A76F4" w:rsidRDefault="00E35E07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ممکن است کسی ادعا کند که با مطالبه او حکم الهی ثابت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، اما این کلام درست نیست چراکه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بااین‌وجود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هیچ‌گاه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حق‌الناسی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ثابت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>.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در همه موارد ایذاء دیگران حرمت دارد.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این گفتار صحیح نیست چراکه شرع به او اجازه این درخواست را داده است. در ادامه ممکن است کسی چنین ادعایی داشته باشد که منع از ایذاء مؤمن مطلق و حکم الهی متوقف بر ثبوت تمام شرایط است و قبل از درخواست چیزی منجز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lastRenderedPageBreak/>
        <w:t>نمی‌شود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>.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کلام نیز به همان پاسخ سابق مردود است.</w:t>
      </w:r>
    </w:p>
    <w:p w:rsidR="00E35E07" w:rsidRPr="008A76F4" w:rsidRDefault="00E35E07" w:rsidP="008A76F4">
      <w:pPr>
        <w:pStyle w:val="Heading2"/>
        <w:spacing w:line="360" w:lineRule="auto"/>
        <w:rPr>
          <w:rFonts w:ascii="IRBadr" w:hAnsi="IRBadr" w:cs="IRBadr"/>
          <w:rtl/>
        </w:rPr>
      </w:pPr>
      <w:bookmarkStart w:id="11" w:name="_Toc432608108"/>
      <w:r w:rsidRPr="008A76F4">
        <w:rPr>
          <w:rFonts w:ascii="IRBadr" w:hAnsi="IRBadr" w:cs="IRBadr"/>
          <w:rtl/>
        </w:rPr>
        <w:t>اتخاذ مبنا</w:t>
      </w:r>
      <w:bookmarkEnd w:id="11"/>
    </w:p>
    <w:p w:rsidR="00E35E07" w:rsidRPr="008A76F4" w:rsidRDefault="00E35E07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>مبنای صحیح در اینجا این است که ادله منع از ایذاء والدین از باب مطالبه حق منصرف است.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قبال پدر دلیل خاص وجود داشت که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آن را به موارد دیگر با قیاس تسری داد.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جواب‌هایی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نیز که در قبال مادر و سایر اقرباء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است همگی مخدوش است. </w:t>
      </w:r>
      <w:r w:rsidR="00B1103E" w:rsidRPr="008A76F4">
        <w:rPr>
          <w:rFonts w:ascii="IRBadr" w:hAnsi="IRBadr" w:cs="IRBadr"/>
          <w:sz w:val="28"/>
          <w:szCs w:val="28"/>
          <w:rtl/>
          <w:lang w:bidi="fa-IR"/>
        </w:rPr>
        <w:t>راجع زن و شوهر نکته خاصی وجود دارد که عرض خواهیم کرد.</w:t>
      </w:r>
    </w:p>
    <w:p w:rsidR="00E35E07" w:rsidRPr="008A76F4" w:rsidRDefault="00B1103E" w:rsidP="008A76F4">
      <w:pPr>
        <w:pStyle w:val="Heading3"/>
        <w:spacing w:line="360" w:lineRule="auto"/>
        <w:rPr>
          <w:rFonts w:ascii="IRBadr" w:hAnsi="IRBadr" w:cs="IRBadr"/>
          <w:rtl/>
        </w:rPr>
      </w:pPr>
      <w:r w:rsidRPr="008A76F4">
        <w:rPr>
          <w:rFonts w:ascii="IRBadr" w:hAnsi="IRBadr" w:cs="IRBadr"/>
          <w:rtl/>
        </w:rPr>
        <w:t xml:space="preserve"> </w:t>
      </w:r>
      <w:bookmarkStart w:id="12" w:name="_Toc432608109"/>
      <w:r w:rsidR="00C23A14" w:rsidRPr="008A76F4">
        <w:rPr>
          <w:rFonts w:ascii="IRBadr" w:hAnsi="IRBadr" w:cs="IRBadr"/>
          <w:rtl/>
        </w:rPr>
        <w:t>شمول حکم نسبت به پدر رضاعی</w:t>
      </w:r>
      <w:bookmarkEnd w:id="12"/>
    </w:p>
    <w:p w:rsidR="00C23A14" w:rsidRPr="008A76F4" w:rsidRDefault="00B1103E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>یک نکته این است آیا این حکم شامل پدر رضاعی هم می‌شود یا نمی‌شود؟</w:t>
      </w:r>
    </w:p>
    <w:p w:rsidR="00C23A14" w:rsidRPr="008A76F4" w:rsidRDefault="00B1103E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این هم در باب قصاص باید بحث بشود، آنجا اختلافی است که اگر پدر فرزند را کشت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قصاص نمی‌شود، آیا پدر </w:t>
      </w:r>
      <w:r w:rsidR="00C23A14" w:rsidRPr="008A76F4">
        <w:rPr>
          <w:rFonts w:ascii="IRBadr" w:hAnsi="IRBadr" w:cs="IRBadr"/>
          <w:sz w:val="28"/>
          <w:szCs w:val="28"/>
          <w:rtl/>
          <w:lang w:bidi="fa-IR"/>
        </w:rPr>
        <w:t>رضاعی هم شامل می‌شود یا نمی‌شود؟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آنجا بحث است و اختلاف هم </w:t>
      </w:r>
      <w:r w:rsidR="00C23A14" w:rsidRPr="008A76F4">
        <w:rPr>
          <w:rFonts w:ascii="IRBadr" w:hAnsi="IRBadr" w:cs="IRBadr"/>
          <w:sz w:val="28"/>
          <w:szCs w:val="28"/>
          <w:rtl/>
          <w:lang w:bidi="fa-IR"/>
        </w:rPr>
        <w:t>وجود دارد.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آن را باید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حواله‌کرد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در جای خودش</w:t>
      </w:r>
      <w:r w:rsidR="00C23A14" w:rsidRPr="008A76F4">
        <w:rPr>
          <w:rFonts w:ascii="IRBadr" w:hAnsi="IRBadr" w:cs="IRBadr"/>
          <w:sz w:val="28"/>
          <w:szCs w:val="28"/>
          <w:rtl/>
          <w:lang w:bidi="fa-IR"/>
        </w:rPr>
        <w:t xml:space="preserve"> تا آنجا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بحث بشود.</w:t>
      </w:r>
    </w:p>
    <w:p w:rsidR="00C23A14" w:rsidRPr="008A76F4" w:rsidRDefault="00C23A14" w:rsidP="008A76F4">
      <w:pPr>
        <w:pStyle w:val="Heading4"/>
        <w:spacing w:line="360" w:lineRule="auto"/>
        <w:ind w:firstLine="0"/>
        <w:rPr>
          <w:rFonts w:ascii="IRBadr" w:hAnsi="IRBadr" w:cs="IRBadr"/>
          <w:rtl/>
        </w:rPr>
      </w:pPr>
      <w:bookmarkStart w:id="13" w:name="_Toc432608110"/>
      <w:r w:rsidRPr="008A76F4">
        <w:rPr>
          <w:rFonts w:ascii="IRBadr" w:hAnsi="IRBadr" w:cs="IRBadr"/>
          <w:rtl/>
        </w:rPr>
        <w:t>مورد استثناء</w:t>
      </w:r>
      <w:bookmarkEnd w:id="13"/>
    </w:p>
    <w:p w:rsidR="00C23A14" w:rsidRPr="008A76F4" w:rsidRDefault="00B1103E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یک مطلب هم این است که استثنای </w:t>
      </w:r>
      <w:r w:rsidR="00C23A14" w:rsidRPr="008A76F4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>اینجا از حد</w:t>
      </w:r>
      <w:r w:rsidR="00C23A14" w:rsidRPr="008A76F4">
        <w:rPr>
          <w:rFonts w:ascii="IRBadr" w:hAnsi="IRBadr" w:cs="IRBadr"/>
          <w:sz w:val="28"/>
          <w:szCs w:val="28"/>
          <w:rtl/>
          <w:lang w:bidi="fa-IR"/>
        </w:rPr>
        <w:t xml:space="preserve"> در قطع ید و قذف است، اما سایر احکام در جای خود قرار دارد،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C23A14" w:rsidRPr="008A76F4">
        <w:rPr>
          <w:rFonts w:ascii="IRBadr" w:hAnsi="IRBadr" w:cs="IRBadr"/>
          <w:sz w:val="28"/>
          <w:szCs w:val="28"/>
          <w:rtl/>
          <w:lang w:bidi="fa-IR"/>
        </w:rPr>
        <w:t xml:space="preserve"> ضمان بر پدر وجود دارد، باید 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مال را برگرداند، و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حق تعزیر هم وجود دارد. حاکم از باب آن امر اجتماعی و آن قاعده کلی که گفته شد، حق این تعزیر را در اینجا دارد.</w:t>
      </w:r>
    </w:p>
    <w:p w:rsidR="00C23A14" w:rsidRPr="008A76F4" w:rsidRDefault="00B1103E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23A14" w:rsidRPr="008A76F4">
        <w:rPr>
          <w:rFonts w:ascii="IRBadr" w:hAnsi="IRBadr" w:cs="IRBadr"/>
          <w:sz w:val="28"/>
          <w:szCs w:val="28"/>
          <w:rtl/>
          <w:lang w:bidi="fa-IR"/>
        </w:rPr>
        <w:t xml:space="preserve">مگر اینکه با توجه به حدیث دیروز کسی قائل شود مال فرزند حقیقتاً مال پدر است </w:t>
      </w:r>
      <w:r w:rsidR="00C23A14" w:rsidRPr="008A76F4">
        <w:rPr>
          <w:rFonts w:ascii="IRBadr" w:hAnsi="IRBadr" w:cs="IRBadr"/>
          <w:sz w:val="28"/>
          <w:szCs w:val="28"/>
          <w:rtl/>
          <w:lang w:bidi="fa-IR"/>
        </w:rPr>
        <w:lastRenderedPageBreak/>
        <w:t>که در این صورت ضمان و ...نیز وجود ندارد.</w:t>
      </w:r>
    </w:p>
    <w:p w:rsidR="00C23A14" w:rsidRPr="008A76F4" w:rsidRDefault="008973FA" w:rsidP="008A76F4">
      <w:pPr>
        <w:pStyle w:val="Heading4"/>
        <w:spacing w:line="360" w:lineRule="auto"/>
        <w:ind w:firstLine="0"/>
        <w:rPr>
          <w:rFonts w:ascii="IRBadr" w:hAnsi="IRBadr" w:cs="IRBadr"/>
          <w:rtl/>
        </w:rPr>
      </w:pPr>
      <w:bookmarkStart w:id="14" w:name="_Toc432608111"/>
      <w:r w:rsidRPr="008A76F4">
        <w:rPr>
          <w:rFonts w:ascii="IRBadr" w:hAnsi="IRBadr" w:cs="IRBadr"/>
          <w:rtl/>
        </w:rPr>
        <w:t>جمع‌بندی</w:t>
      </w:r>
      <w:r w:rsidR="00C23A14" w:rsidRPr="008A76F4">
        <w:rPr>
          <w:rFonts w:ascii="IRBadr" w:hAnsi="IRBadr" w:cs="IRBadr"/>
          <w:rtl/>
        </w:rPr>
        <w:t xml:space="preserve"> بحث</w:t>
      </w:r>
      <w:bookmarkEnd w:id="14"/>
    </w:p>
    <w:p w:rsidR="00C23A14" w:rsidRPr="008A76F4" w:rsidRDefault="00C23A14" w:rsidP="008A76F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جمع‌بندی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بحث باید گفت؛ در قبال استثناءیت از حد سرقت استٍناء قطعی که در میان عامه </w:t>
      </w:r>
      <w:bookmarkStart w:id="15" w:name="_GoBack"/>
      <w:r w:rsidRPr="008A76F4">
        <w:rPr>
          <w:rFonts w:ascii="IRBadr" w:hAnsi="IRBadr" w:cs="IRBadr"/>
          <w:sz w:val="28"/>
          <w:szCs w:val="28"/>
          <w:rtl/>
          <w:lang w:bidi="fa-IR"/>
        </w:rPr>
        <w:t>وخاصه</w:t>
      </w:r>
      <w:bookmarkEnd w:id="15"/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وجود دارد،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پدر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در قبال مادر و سایر اقرباء چندین قول وجود داشت که الحاق اقرباء به این حکم تنها به عامه اختصاص دارد. در قبال الحاق مادر نیز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بیان شد که همگی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مورد رد و مناقشه قرار گرفت و در پایان این نتیجه به دست آمد که احترام و کرامت مادر از حیث اخلاقی بوده و ارتباطی به 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>جنبه‌های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حقوقی شریعت ندارد،</w:t>
      </w:r>
      <w:r w:rsidR="008973FA" w:rsidRPr="008A76F4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 w:rsidRPr="008A76F4">
        <w:rPr>
          <w:rFonts w:ascii="IRBadr" w:hAnsi="IRBadr" w:cs="IRBadr"/>
          <w:sz w:val="28"/>
          <w:szCs w:val="28"/>
          <w:rtl/>
          <w:lang w:bidi="fa-IR"/>
        </w:rPr>
        <w:t xml:space="preserve"> بر اینکه ادله عدم ایذاء والدین از باب مطالبه منصرف است.</w:t>
      </w:r>
    </w:p>
    <w:p w:rsidR="00152670" w:rsidRPr="008A76F4" w:rsidRDefault="00152670" w:rsidP="008A76F4">
      <w:pPr>
        <w:bidi/>
        <w:spacing w:line="360" w:lineRule="auto"/>
        <w:rPr>
          <w:rFonts w:ascii="IRBadr" w:hAnsi="IRBadr" w:cs="IRBadr"/>
          <w:rtl/>
          <w:lang w:bidi="fa-IR"/>
        </w:rPr>
      </w:pPr>
    </w:p>
    <w:sectPr w:rsidR="00152670" w:rsidRPr="008A76F4" w:rsidSect="000D580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0B" w:rsidRDefault="00EE080B" w:rsidP="000D5800">
      <w:pPr>
        <w:spacing w:after="0" w:line="240" w:lineRule="auto"/>
      </w:pPr>
      <w:r>
        <w:separator/>
      </w:r>
    </w:p>
  </w:endnote>
  <w:endnote w:type="continuationSeparator" w:id="0">
    <w:p w:rsidR="00EE080B" w:rsidRDefault="00EE080B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0B" w:rsidRDefault="00EE080B" w:rsidP="008A76F4">
      <w:pPr>
        <w:spacing w:after="0" w:line="240" w:lineRule="auto"/>
        <w:jc w:val="right"/>
      </w:pPr>
      <w:r>
        <w:separator/>
      </w:r>
    </w:p>
  </w:footnote>
  <w:footnote w:type="continuationSeparator" w:id="0">
    <w:p w:rsidR="00EE080B" w:rsidRDefault="00EE080B" w:rsidP="000D5800">
      <w:pPr>
        <w:spacing w:after="0" w:line="240" w:lineRule="auto"/>
      </w:pPr>
      <w:r>
        <w:continuationSeparator/>
      </w:r>
    </w:p>
  </w:footnote>
  <w:footnote w:id="1">
    <w:p w:rsidR="00434918" w:rsidRPr="003A4C00" w:rsidRDefault="00434918">
      <w:pPr>
        <w:pStyle w:val="FootnoteText"/>
        <w:rPr>
          <w:rFonts w:cs="B Badr"/>
        </w:rPr>
      </w:pPr>
      <w:r w:rsidRPr="003A4C00">
        <w:rPr>
          <w:rStyle w:val="FootnoteReference"/>
          <w:rFonts w:cs="B Badr"/>
        </w:rPr>
        <w:footnoteRef/>
      </w:r>
      <w:r w:rsidRPr="003A4C00">
        <w:rPr>
          <w:rFonts w:cs="B Badr"/>
          <w:rtl/>
        </w:rPr>
        <w:t xml:space="preserve"> </w:t>
      </w:r>
      <w:r w:rsidR="003A4C00" w:rsidRPr="003A4C00">
        <w:rPr>
          <w:rFonts w:cs="B Badr" w:hint="cs"/>
          <w:rtl/>
        </w:rPr>
        <w:t>اسراء /23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6B630A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5728393" wp14:editId="752E96A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69DA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</w:rPr>
      <w:drawing>
        <wp:inline distT="0" distB="0" distL="0" distR="0" wp14:anchorId="1756BFB1" wp14:editId="7604AB2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8973FA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B630A">
      <w:rPr>
        <w:rFonts w:ascii="IranNastaliq" w:hAnsi="IranNastaliq" w:cs="IranNastaliq" w:hint="cs"/>
        <w:sz w:val="40"/>
        <w:szCs w:val="40"/>
        <w:rtl/>
      </w:rPr>
      <w:t>867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3E"/>
    <w:rsid w:val="00020105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111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046B"/>
    <w:rsid w:val="001C367D"/>
    <w:rsid w:val="001D24F8"/>
    <w:rsid w:val="001E18E4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F28"/>
    <w:rsid w:val="003A1A05"/>
    <w:rsid w:val="003A2654"/>
    <w:rsid w:val="003A4C00"/>
    <w:rsid w:val="003C06BF"/>
    <w:rsid w:val="003C7899"/>
    <w:rsid w:val="003D2F0A"/>
    <w:rsid w:val="003D563F"/>
    <w:rsid w:val="003E1E58"/>
    <w:rsid w:val="00405199"/>
    <w:rsid w:val="00410699"/>
    <w:rsid w:val="00415360"/>
    <w:rsid w:val="0042369F"/>
    <w:rsid w:val="00434918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630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261C"/>
    <w:rsid w:val="00845CC4"/>
    <w:rsid w:val="008644F4"/>
    <w:rsid w:val="00883578"/>
    <w:rsid w:val="00883733"/>
    <w:rsid w:val="008965D2"/>
    <w:rsid w:val="008973FA"/>
    <w:rsid w:val="008A236D"/>
    <w:rsid w:val="008A76F4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61C3"/>
    <w:rsid w:val="009C7B4F"/>
    <w:rsid w:val="009E46CA"/>
    <w:rsid w:val="009E7CF8"/>
    <w:rsid w:val="009F4EB3"/>
    <w:rsid w:val="00A06D48"/>
    <w:rsid w:val="00A21834"/>
    <w:rsid w:val="00A31C17"/>
    <w:rsid w:val="00A31FDE"/>
    <w:rsid w:val="00A35AC2"/>
    <w:rsid w:val="00A37C77"/>
    <w:rsid w:val="00A40FCF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103E"/>
    <w:rsid w:val="00B15027"/>
    <w:rsid w:val="00B21CF4"/>
    <w:rsid w:val="00B24300"/>
    <w:rsid w:val="00B63F15"/>
    <w:rsid w:val="00B63F58"/>
    <w:rsid w:val="00B81720"/>
    <w:rsid w:val="00BB5F7E"/>
    <w:rsid w:val="00BC26F6"/>
    <w:rsid w:val="00BD3122"/>
    <w:rsid w:val="00BD40DA"/>
    <w:rsid w:val="00C160AF"/>
    <w:rsid w:val="00C22299"/>
    <w:rsid w:val="00C23A14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3F2D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35E07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080B"/>
    <w:rsid w:val="00EE1C07"/>
    <w:rsid w:val="00EE2C91"/>
    <w:rsid w:val="00EE3979"/>
    <w:rsid w:val="00EF138C"/>
    <w:rsid w:val="00F034CE"/>
    <w:rsid w:val="00F108D7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FD28BD-A3E7-4421-B72B-133F21B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0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349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7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3D9F-45B2-48C3-AF23-22D8B5E8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14</cp:revision>
  <dcterms:created xsi:type="dcterms:W3CDTF">2015-10-15T00:46:00Z</dcterms:created>
  <dcterms:modified xsi:type="dcterms:W3CDTF">2015-10-15T00:47:00Z</dcterms:modified>
</cp:coreProperties>
</file>