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22" w:rsidRDefault="00187022" w:rsidP="00187022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بسم‌الله</w:t>
      </w:r>
      <w:r w:rsidR="00CA76A9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 w:hint="cs"/>
          <w:sz w:val="28"/>
          <w:szCs w:val="28"/>
          <w:lang w:bidi="fa-IR"/>
        </w:rPr>
        <w:instrText>TOC</w:instrText>
      </w:r>
      <w:r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187022" w:rsidRDefault="00187022" w:rsidP="0018702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28" w:history="1">
        <w:r w:rsidRPr="00042A53">
          <w:rPr>
            <w:rStyle w:val="Hyperlink"/>
            <w:rFonts w:hint="eastAsia"/>
            <w:noProof/>
            <w:rtl/>
          </w:rPr>
          <w:t>حد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29" w:history="1">
        <w:r w:rsidRPr="00042A53">
          <w:rPr>
            <w:rStyle w:val="Hyperlink"/>
            <w:rFonts w:hint="eastAsia"/>
            <w:noProof/>
            <w:rtl/>
          </w:rPr>
          <w:t>سرقت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از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غنا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م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در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مال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الشرکة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0" w:history="1">
        <w:r w:rsidRPr="00042A53">
          <w:rPr>
            <w:rStyle w:val="Hyperlink"/>
            <w:rFonts w:hint="eastAsia"/>
            <w:noProof/>
            <w:rtl/>
          </w:rPr>
          <w:t>طوا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ف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یی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در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ن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1" w:history="1">
        <w:r w:rsidRPr="00042A53">
          <w:rPr>
            <w:rStyle w:val="Hyperlink"/>
            <w:rFonts w:hint="eastAsia"/>
            <w:noProof/>
            <w:rtl/>
          </w:rPr>
          <w:t>مستندات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2" w:history="1"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ات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گروه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3" w:history="1"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4" w:history="1"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5" w:history="1"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ات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دسته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6" w:history="1"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7" w:history="1"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8" w:history="1"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دسته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39" w:history="1">
        <w:r w:rsidRPr="00042A53">
          <w:rPr>
            <w:rStyle w:val="Hyperlink"/>
            <w:rFonts w:hint="eastAsia"/>
            <w:noProof/>
            <w:rtl/>
          </w:rPr>
          <w:t>اجوبه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از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ت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اخ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40" w:history="1">
        <w:r w:rsidRPr="00042A53">
          <w:rPr>
            <w:rStyle w:val="Hyperlink"/>
            <w:rFonts w:hint="eastAsia"/>
            <w:noProof/>
            <w:rtl/>
          </w:rPr>
          <w:t>پاسخ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41" w:history="1">
        <w:r w:rsidRPr="00042A53">
          <w:rPr>
            <w:rStyle w:val="Hyperlink"/>
            <w:rFonts w:hint="eastAsia"/>
            <w:noProof/>
            <w:rtl/>
          </w:rPr>
          <w:t>پاسخ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42" w:history="1">
        <w:r w:rsidRPr="00042A53">
          <w:rPr>
            <w:rStyle w:val="Hyperlink"/>
            <w:rFonts w:hint="eastAsia"/>
            <w:noProof/>
            <w:rtl/>
          </w:rPr>
          <w:t>جمع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ب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ن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روا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43" w:history="1">
        <w:r w:rsidRPr="00042A53">
          <w:rPr>
            <w:rStyle w:val="Hyperlink"/>
            <w:rFonts w:hint="eastAsia"/>
            <w:noProof/>
            <w:rtl/>
          </w:rPr>
          <w:t>خدشه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در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جمع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4544" w:history="1">
        <w:r w:rsidRPr="00042A53">
          <w:rPr>
            <w:rStyle w:val="Hyperlink"/>
            <w:rFonts w:hint="eastAsia"/>
            <w:noProof/>
            <w:rtl/>
          </w:rPr>
          <w:t>پاسخ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از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استدلال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94545" w:history="1">
        <w:r w:rsidRPr="00042A53">
          <w:rPr>
            <w:rStyle w:val="Hyperlink"/>
            <w:rFonts w:hint="eastAsia"/>
            <w:noProof/>
            <w:rtl/>
          </w:rPr>
          <w:t>دزد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در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سا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rFonts w:hint="eastAsia"/>
            <w:noProof/>
            <w:rtl/>
          </w:rPr>
          <w:t>ر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موارد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مال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الشرکة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94546" w:history="1">
        <w:r w:rsidRPr="00042A53">
          <w:rPr>
            <w:rStyle w:val="Hyperlink"/>
            <w:rFonts w:hint="eastAsia"/>
            <w:noProof/>
            <w:rtl/>
          </w:rPr>
          <w:t>معان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94547" w:history="1">
        <w:r w:rsidRPr="00042A53">
          <w:rPr>
            <w:rStyle w:val="Hyperlink"/>
            <w:rFonts w:hint="eastAsia"/>
            <w:noProof/>
            <w:rtl/>
          </w:rPr>
          <w:t>معنا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94548" w:history="1">
        <w:r w:rsidRPr="00042A53">
          <w:rPr>
            <w:rStyle w:val="Hyperlink"/>
            <w:rFonts w:hint="eastAsia"/>
            <w:noProof/>
            <w:rtl/>
          </w:rPr>
          <w:t>معنا</w:t>
        </w:r>
        <w:r w:rsidRPr="00042A53">
          <w:rPr>
            <w:rStyle w:val="Hyperlink"/>
            <w:rFonts w:hint="cs"/>
            <w:noProof/>
            <w:rtl/>
          </w:rPr>
          <w:t>ی</w:t>
        </w:r>
        <w:r w:rsidRPr="00042A53">
          <w:rPr>
            <w:rStyle w:val="Hyperlink"/>
            <w:noProof/>
            <w:rtl/>
          </w:rPr>
          <w:t xml:space="preserve"> </w:t>
        </w:r>
        <w:r w:rsidRPr="00042A5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_Toc432794548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7022" w:rsidRDefault="00187022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87022" w:rsidRDefault="00187022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179BA" w:rsidRDefault="004179BA" w:rsidP="00187022">
      <w:pPr>
        <w:pStyle w:val="Heading1"/>
        <w:rPr>
          <w:rtl/>
        </w:rPr>
      </w:pPr>
      <w:bookmarkStart w:id="0" w:name="_Toc432794528"/>
      <w:r>
        <w:rPr>
          <w:rFonts w:hint="cs"/>
          <w:rtl/>
        </w:rPr>
        <w:lastRenderedPageBreak/>
        <w:t>حد سرقت</w:t>
      </w:r>
      <w:bookmarkEnd w:id="0"/>
    </w:p>
    <w:p w:rsidR="004179BA" w:rsidRDefault="004179BA" w:rsidP="00187022">
      <w:pPr>
        <w:pStyle w:val="Heading1"/>
        <w:rPr>
          <w:rtl/>
        </w:rPr>
      </w:pPr>
      <w:bookmarkStart w:id="1" w:name="_Toc432794529"/>
      <w:r>
        <w:rPr>
          <w:rFonts w:hint="cs"/>
          <w:rtl/>
        </w:rPr>
        <w:t>سرقت از غنایم در مال الشرکة</w:t>
      </w:r>
      <w:bookmarkEnd w:id="1"/>
    </w:p>
    <w:p w:rsidR="00CA76A9" w:rsidRDefault="00432CD7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دو مسأله دیگر در ادامه شرایط در تحریر مطرح است و شایسته بود آنچه در این دو مسأله وجود دارد مستقلاً ذکر شود.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شبهه وجود نداشته باشد و شرط دیگر این بود که در مال مشترک سرقت رخ نداده باشد.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شرط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چراکه در برخی موارد بر شریکی که مال را برداشته حد اجرا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179BA" w:rsidRDefault="004179BA" w:rsidP="00187022">
      <w:pPr>
        <w:pStyle w:val="Heading2"/>
        <w:rPr>
          <w:rtl/>
        </w:rPr>
      </w:pPr>
      <w:bookmarkStart w:id="2" w:name="_Toc432794530"/>
      <w:r>
        <w:rPr>
          <w:rFonts w:hint="cs"/>
          <w:rtl/>
        </w:rPr>
        <w:t>طوایف روایی در این مقام</w:t>
      </w:r>
      <w:bookmarkEnd w:id="2"/>
    </w:p>
    <w:p w:rsidR="00432CD7" w:rsidRDefault="00432CD7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 مقام در اینجا سرقت از غنایم جنگی و یک مقام از سایر موارد است چراکه در غنایم ادله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خاصه‌ای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آن مبنای بحث است.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 در مال الغنیمه دو طایفه از روایات وجود دارد؛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گروه اول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به‌طور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قطع ید نیست حتی اگر به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حدنصاب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رسیده باشد.</w:t>
      </w:r>
    </w:p>
    <w:p w:rsidR="00432CD7" w:rsidRDefault="00432CD7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گروه دوم روایاتی است که تفصیل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مواردی که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به‌اندازه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سهم خود یا اندکی بیشتر برداشته و جایی که زائد اخذ کرده و زیاده به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حدنصاب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قطع ید وجود دارد.</w:t>
      </w:r>
    </w:p>
    <w:p w:rsidR="00432CD7" w:rsidRDefault="00432CD7" w:rsidP="00187022">
      <w:pPr>
        <w:pStyle w:val="Heading2"/>
        <w:rPr>
          <w:rtl/>
        </w:rPr>
      </w:pPr>
      <w:bookmarkStart w:id="3" w:name="_Toc432794531"/>
      <w:r>
        <w:rPr>
          <w:rFonts w:hint="cs"/>
          <w:rtl/>
        </w:rPr>
        <w:t>مستندات بحث</w:t>
      </w:r>
      <w:bookmarkEnd w:id="3"/>
    </w:p>
    <w:p w:rsidR="00432CD7" w:rsidRDefault="00432CD7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</w:t>
      </w:r>
      <w:r w:rsidR="00C61D5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روایات در ابواب سرقت،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باب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بیست‌وچهار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516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432CD7" w:rsidRDefault="00432CD7" w:rsidP="00187022">
      <w:pPr>
        <w:pStyle w:val="Heading2"/>
        <w:rPr>
          <w:rtl/>
        </w:rPr>
      </w:pPr>
      <w:bookmarkStart w:id="4" w:name="_Toc432794532"/>
      <w:r>
        <w:rPr>
          <w:rFonts w:hint="cs"/>
          <w:rtl/>
        </w:rPr>
        <w:t>روایات گروه اول</w:t>
      </w:r>
      <w:bookmarkEnd w:id="4"/>
    </w:p>
    <w:p w:rsidR="00C61D55" w:rsidRDefault="00432CD7" w:rsidP="00187022">
      <w:pPr>
        <w:pStyle w:val="Heading2"/>
        <w:rPr>
          <w:rtl/>
        </w:rPr>
      </w:pPr>
      <w:bookmarkStart w:id="5" w:name="_Toc432794533"/>
      <w:r>
        <w:rPr>
          <w:rFonts w:hint="cs"/>
          <w:rtl/>
        </w:rPr>
        <w:t>روایت اول</w:t>
      </w:r>
      <w:bookmarkEnd w:id="5"/>
    </w:p>
    <w:p w:rsidR="009D67FF" w:rsidRDefault="00C61D55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سند دوم این روایت معتبر است.</w:t>
      </w:r>
    </w:p>
    <w:p w:rsidR="009D67FF" w:rsidRPr="009D67FF" w:rsidRDefault="009D67FF" w:rsidP="00187022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«سَهْلُ بْنُ زِ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ادٍ عَنِ ابْنِ أَبِ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نَجْرَانَ عَنْ عَاصِمِ بْنِ حُمَ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دٍ عَنْ مُحَمَّدِ بْنِ قَ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سٍ عَنْ أَبِ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جَعْفَرٍ ع قَالَ: قَضَ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عَلِ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 فِ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رَجُلٍ أَخَذَ بَ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ضَةً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مِنَ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الْمَغْنَمِ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قَالُوا قَدْ سَرَقَ اقْطَعْهُ فَقَالَ إِنِّ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لَمْ أَقْطَعْ أَحَداً لَهُ فِ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مَا أَخَذَهُ شِرْ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.»</w:t>
      </w:r>
      <w:r w:rsidRPr="009D67FF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C61D55" w:rsidRDefault="00C61D55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 در قبال مالی که مشترک است دست کسی را قطع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61D55" w:rsidRDefault="00C61D55" w:rsidP="00187022">
      <w:pPr>
        <w:pStyle w:val="Heading2"/>
        <w:rPr>
          <w:rtl/>
        </w:rPr>
      </w:pPr>
      <w:bookmarkStart w:id="7" w:name="_Toc432794534"/>
      <w:r>
        <w:rPr>
          <w:rFonts w:hint="cs"/>
          <w:rtl/>
        </w:rPr>
        <w:t>روایت دوم</w:t>
      </w:r>
      <w:bookmarkEnd w:id="7"/>
    </w:p>
    <w:p w:rsidR="00C61D55" w:rsidRDefault="009D67FF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روایت،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راجع</w:t>
      </w:r>
      <w:r w:rsidR="00C61D55">
        <w:rPr>
          <w:rFonts w:ascii="IRBadr" w:hAnsi="IRBadr" w:cs="IRBadr" w:hint="cs"/>
          <w:sz w:val="28"/>
          <w:szCs w:val="28"/>
          <w:rtl/>
          <w:lang w:bidi="fa-IR"/>
        </w:rPr>
        <w:t xml:space="preserve"> به سهل بن زیاد اختلاف است.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مضمون</w:t>
      </w:r>
      <w:r w:rsidR="00C61D55"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همانند روایت گذشته است.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C61D55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در روایت لفظ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بیت‌المال</w:t>
      </w:r>
      <w:r w:rsidR="00C61D5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 w:rsidR="00C61D55">
        <w:rPr>
          <w:rFonts w:ascii="IRBadr" w:hAnsi="IRBadr" w:cs="IRBadr" w:hint="cs"/>
          <w:sz w:val="28"/>
          <w:szCs w:val="28"/>
          <w:rtl/>
          <w:lang w:bidi="fa-IR"/>
        </w:rPr>
        <w:t xml:space="preserve"> که از مغنم شمول بیشتری دارد.</w:t>
      </w:r>
    </w:p>
    <w:p w:rsidR="00C61D55" w:rsidRDefault="00C61D55" w:rsidP="00187022">
      <w:pPr>
        <w:pStyle w:val="Heading2"/>
        <w:rPr>
          <w:rtl/>
        </w:rPr>
      </w:pPr>
      <w:bookmarkStart w:id="8" w:name="_Toc432794535"/>
      <w:r>
        <w:rPr>
          <w:rFonts w:hint="cs"/>
          <w:rtl/>
        </w:rPr>
        <w:t>روایات دسته دوم</w:t>
      </w:r>
      <w:bookmarkEnd w:id="8"/>
    </w:p>
    <w:p w:rsidR="00C61D55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</w:t>
      </w:r>
      <w:r w:rsidR="00C61D55">
        <w:rPr>
          <w:rFonts w:ascii="IRBadr" w:hAnsi="IRBadr" w:cs="IRBadr" w:hint="cs"/>
          <w:sz w:val="28"/>
          <w:szCs w:val="28"/>
          <w:rtl/>
          <w:lang w:bidi="fa-IR"/>
        </w:rPr>
        <w:t xml:space="preserve">وایات تفصیل دهنده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C61D55"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</w:p>
    <w:p w:rsidR="004179BA" w:rsidRDefault="004179BA" w:rsidP="00187022">
      <w:pPr>
        <w:pStyle w:val="Heading2"/>
        <w:rPr>
          <w:rtl/>
        </w:rPr>
      </w:pPr>
      <w:bookmarkStart w:id="9" w:name="_Toc432794536"/>
      <w:r>
        <w:rPr>
          <w:rFonts w:hint="cs"/>
          <w:rtl/>
        </w:rPr>
        <w:t>روایت اول</w:t>
      </w:r>
      <w:bookmarkEnd w:id="9"/>
    </w:p>
    <w:p w:rsidR="009D67FF" w:rsidRPr="009D67FF" w:rsidRDefault="009D67FF" w:rsidP="00187022">
      <w:pPr>
        <w:pStyle w:val="NormalWeb"/>
        <w:bidi/>
        <w:jc w:val="both"/>
        <w:rPr>
          <w:rFonts w:ascii="IRBadr" w:hAnsi="IRBadr" w:cs="IRBadr"/>
          <w:b/>
          <w:bCs/>
          <w:sz w:val="20"/>
          <w:szCs w:val="20"/>
          <w:lang w:bidi="fa-IR"/>
        </w:rPr>
      </w:pP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«وَ رَوَ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ونُسُ عَنْ عَبْدِ اللَّهِ بْنِ سِنَانٍ عَنْ أَبِ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قَالَ: قُلْتُ لَهُ رَجُلٌ سَرَقَ مِنَ الْمَغْنَمِ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الشَّ</w:t>
      </w:r>
      <w:r w:rsidR="0018702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</w:t>
      </w:r>
      <w:r w:rsidR="0018702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ءَ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الَّذِ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جِبُ عَلَ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الْقَطْعُ قَالَ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نْظَرُ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مِ الَّذِ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صِ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بُهُ فَإِنْ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انَ الَّذِ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أَخَذَ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أَقَلَ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مِنْ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نَصِ</w:t>
      </w:r>
      <w:r w:rsidR="0018702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8702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بِهِ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عُزِّرَ وَ دُفِعَ إِلَ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تَمَامُ مَالِهِ وَ إِنْ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انَ أَخَذَ مِثْلَ الَّذِ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لَهُ فَلَا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شَ</w:t>
      </w:r>
      <w:r w:rsidR="0018702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</w:t>
      </w:r>
      <w:r w:rsidR="0018702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ءَ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عَلَ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وَ إِنْ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انَ أَخَذَ فَضْلًا بِقَدْرِ ثَمَنِ مِجَنٍّ وَ هُوَ رُبُعُ دِ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نَارٍ قُطِعَ.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D67FF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4179BA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روایت چهار صورت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سه صورت قطع نیست؛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کمتر از سهم برداشته،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بیشتر بداشته و به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حدنصاب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نرسیده و اگر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به‌اندازه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سهم خود برداشته است.</w:t>
      </w:r>
    </w:p>
    <w:p w:rsidR="004179BA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در صورت چهارم فرضی است که زائد به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حدنصاب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حالت قطع ثابت است.</w:t>
      </w:r>
    </w:p>
    <w:p w:rsidR="004179BA" w:rsidRDefault="004179BA" w:rsidP="00187022">
      <w:pPr>
        <w:pStyle w:val="Heading2"/>
        <w:rPr>
          <w:rtl/>
        </w:rPr>
      </w:pPr>
      <w:bookmarkStart w:id="10" w:name="_Toc432794537"/>
      <w:r>
        <w:rPr>
          <w:rFonts w:hint="cs"/>
          <w:rtl/>
        </w:rPr>
        <w:lastRenderedPageBreak/>
        <w:t>روایت دوم</w:t>
      </w:r>
      <w:bookmarkEnd w:id="10"/>
    </w:p>
    <w:p w:rsidR="004179BA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روایت دوم نیز همین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مضمون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دارد.</w:t>
      </w:r>
    </w:p>
    <w:p w:rsidR="009D67FF" w:rsidRPr="009D67FF" w:rsidRDefault="009D67FF" w:rsidP="00187022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«مُحَمَّدُ بْنُ الْحَسَنِ الصَّفَّارُ عَنْ إِبْرَاهِ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مَ بْنِ هَاشِمٍ عَنْ صَالِحِ بْنِ سَعِ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دٍ عَنْ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ونُسَ بْنِ عَبْدِ الرَّحْمَنِ عَنِ ابْنِ سِنَانٍ عَنْ أَبِ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قَالَ: قُلْتُ لَهُ رَجُلٌ سَرَقَ مِنَ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الْفَ</w:t>
      </w:r>
      <w:r w:rsidR="0018702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</w:t>
      </w:r>
      <w:r w:rsidR="0018702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ءِ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قَالَ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بَعْدَ مَا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قُسِمَ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أَوْ قَبْلُ قُلْتُ فَأَجِبْنِ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هِمَا قَالَ إِنْ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 سَرَقَ بَعْدَ مَا أَخَذَ حِصَّتَهُ مِنْهُ قُطِعَ وَ إِنْ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 سَرَقَ قَبْلَ أَنْ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قْسَمَ لَمْ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قْطَعْ حَتَّ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نْظَرَ مَا لَهُ فَ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دْفَعَ إِلَ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حَقُّهُ مِنْهُ فَإِنْ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انَ الَّذِ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أَخَذَ أَقَلَّ مِمَّا لَهُ أُعْطِ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بَقِ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ةَ حَقِّهِ وَ لَا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شَ</w:t>
      </w:r>
      <w:r w:rsidR="0018702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</w:t>
      </w:r>
      <w:r w:rsidR="00187022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ءَ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عَلَ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إِلَّا أَنَّهُ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عَزَّرُ لِجُرْأَتِهِ وَ إِنْ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انَ الَّذِ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أَخَذَ مِثْلَ حَقِّهِ أُقِرَّ فِ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دِهِ وَ زِ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دَ أَ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ضاً وَ إِنْ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انَ الَّذِ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سَرَقَ أَ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ثَرَ مِمَّا لَهُ بِقَدْرِ مِجَنٍّ قُطِعَ وَ هُوَ صَاغِرٌ وَ ثَمَنُ مِجَنٍّ رُبُعُ دِ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نَارٍ.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D67FF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4179BA" w:rsidRDefault="004179BA" w:rsidP="00187022">
      <w:pPr>
        <w:pStyle w:val="Heading2"/>
        <w:rPr>
          <w:rtl/>
        </w:rPr>
      </w:pPr>
      <w:bookmarkStart w:id="11" w:name="_Toc432794538"/>
      <w:r>
        <w:rPr>
          <w:rFonts w:hint="cs"/>
          <w:rtl/>
        </w:rPr>
        <w:t>روایت دسته سوم</w:t>
      </w:r>
      <w:bookmarkEnd w:id="11"/>
    </w:p>
    <w:p w:rsidR="004179BA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در حقیقت روایتی با مضمون سوم است.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 ظاهری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این‌چنینی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 که مطلقاً قطع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9D67FF" w:rsidRPr="009D67FF" w:rsidRDefault="00187022" w:rsidP="00187022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الْحُسَ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نُ بْنُ سَعِ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دٍ عَنْ فَضَالَةَ عَنْ أَبَانٍ عَنْ عَبْدِ الرَّحْمَنِ بْنِ أَبِ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قَالَ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سَأَلْتُ أَبَا عَبْدِ اللَّهِ ع عَنِ الْبَ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ضَةِ الَّتِ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قَطَعَ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ف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ها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أَمِ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رُ الْمُؤْمِنِ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ع فَقَالَ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کانَتْ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ضَةَ حَدِ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D67FF" w:rsidRPr="009D67FF">
        <w:rPr>
          <w:rFonts w:ascii="IRBadr" w:hAnsi="IRBadr" w:cs="IRBadr"/>
          <w:b/>
          <w:bCs/>
          <w:sz w:val="28"/>
          <w:szCs w:val="28"/>
          <w:rtl/>
          <w:lang w:bidi="fa-IR"/>
        </w:rPr>
        <w:t>دٍ سَرَقَهَا رَجُلٌ مِنَ الْمَغْنَمِ فَقَطَعَهُ.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9D67FF" w:rsidRPr="009D67FF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4179BA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دیگر تفصیلی وجود ندارد بلکه مطلقاً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قطع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179BA" w:rsidRDefault="004179BA" w:rsidP="00187022">
      <w:pPr>
        <w:pStyle w:val="Heading2"/>
        <w:rPr>
          <w:rtl/>
        </w:rPr>
      </w:pPr>
      <w:bookmarkStart w:id="12" w:name="_Toc432794539"/>
      <w:r>
        <w:rPr>
          <w:rFonts w:hint="cs"/>
          <w:rtl/>
        </w:rPr>
        <w:t>اجوبه از روایت اخیر</w:t>
      </w:r>
      <w:bookmarkEnd w:id="12"/>
    </w:p>
    <w:p w:rsidR="004179BA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این روایت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 جواب داد که؛</w:t>
      </w:r>
    </w:p>
    <w:p w:rsidR="004179BA" w:rsidRDefault="004179BA" w:rsidP="00187022">
      <w:pPr>
        <w:pStyle w:val="Heading2"/>
        <w:rPr>
          <w:rtl/>
        </w:rPr>
      </w:pPr>
      <w:bookmarkStart w:id="13" w:name="_Toc432794540"/>
      <w:r>
        <w:rPr>
          <w:rFonts w:hint="cs"/>
          <w:rtl/>
        </w:rPr>
        <w:t>پاسخ اول</w:t>
      </w:r>
      <w:bookmarkEnd w:id="13"/>
    </w:p>
    <w:p w:rsidR="004179BA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قضیه شخصیه بوده است که به داستان سرقت کلاهخودی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به‌خصوص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اطلاقی از آن استفاده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179BA" w:rsidRDefault="004179BA" w:rsidP="00187022">
      <w:pPr>
        <w:pStyle w:val="Heading2"/>
        <w:rPr>
          <w:rtl/>
        </w:rPr>
      </w:pPr>
      <w:bookmarkStart w:id="14" w:name="_Toc432794541"/>
      <w:r>
        <w:rPr>
          <w:rFonts w:hint="cs"/>
          <w:rtl/>
        </w:rPr>
        <w:t>پاسخ دوم</w:t>
      </w:r>
      <w:bookmarkEnd w:id="14"/>
    </w:p>
    <w:p w:rsidR="00104BBF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دوم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راهی که در جمع بین این روایات خواهد گفت.</w:t>
      </w:r>
    </w:p>
    <w:p w:rsidR="00104BBF" w:rsidRDefault="00104BBF" w:rsidP="00187022">
      <w:pPr>
        <w:pStyle w:val="Heading2"/>
        <w:rPr>
          <w:rtl/>
        </w:rPr>
      </w:pPr>
      <w:bookmarkStart w:id="15" w:name="_Toc432794542"/>
      <w:r>
        <w:rPr>
          <w:rFonts w:hint="cs"/>
          <w:rtl/>
        </w:rPr>
        <w:lastRenderedPageBreak/>
        <w:t>جمع بین روایات</w:t>
      </w:r>
      <w:bookmarkEnd w:id="15"/>
    </w:p>
    <w:p w:rsidR="00104BBF" w:rsidRDefault="004179BA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چراکه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علی‌القاعده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تکلیف جمع بین این روایات مشخص است که حمل مطلق بر مقید است.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در دسته دوم با اقسامی که بین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دسته اول را قید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می‌زند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برفرض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اینکه روایت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آخر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اطلاق داشته باشد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قید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ی‌خورد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جمعی کاملاً عرفی وجود دارد و تعارض مستقری در میان ادله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موجود نیست. اگر روایت اخیر نیز دلالت اطلاقی نداشته باشد مانعی برای جمع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 w:rsidR="00104BBF">
        <w:rPr>
          <w:rFonts w:ascii="IRBadr" w:hAnsi="IRBadr" w:cs="IRBadr" w:hint="cs"/>
          <w:sz w:val="28"/>
          <w:szCs w:val="28"/>
          <w:rtl/>
          <w:lang w:bidi="fa-IR"/>
        </w:rPr>
        <w:t xml:space="preserve"> وجود نخواهد داشت.</w:t>
      </w:r>
    </w:p>
    <w:p w:rsidR="00104BBF" w:rsidRDefault="00104BBF" w:rsidP="00187022">
      <w:pPr>
        <w:pStyle w:val="Heading2"/>
        <w:rPr>
          <w:rtl/>
        </w:rPr>
      </w:pPr>
      <w:bookmarkStart w:id="16" w:name="_Toc432794543"/>
      <w:r>
        <w:rPr>
          <w:rFonts w:hint="cs"/>
          <w:rtl/>
        </w:rPr>
        <w:t>خدشه در جمع فوق</w:t>
      </w:r>
      <w:bookmarkEnd w:id="16"/>
    </w:p>
    <w:p w:rsidR="009D67FF" w:rsidRDefault="00104BBF" w:rsidP="00187022">
      <w:pPr>
        <w:pStyle w:val="NormalWeb"/>
        <w:bidi/>
        <w:spacing w:line="360" w:lineRule="auto"/>
        <w:jc w:val="both"/>
        <w:rPr>
          <w:rFonts w:ascii="Aldhabi" w:hAnsi="Aldhabi" w:cs="Aldhabi" w:hint="cs"/>
          <w:color w:val="552B2B"/>
          <w:sz w:val="30"/>
          <w:szCs w:val="30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این جمع اشکالی مطرح است.</w:t>
      </w:r>
      <w:r w:rsidR="004179B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این اشکال مبتنی بر قاعده دیگری در علم اصول است که قاعده حمل مطلق بر مقید استثناء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187022">
        <w:rPr>
          <w:rFonts w:ascii="IRBadr" w:hAnsi="IRBadr" w:cs="IRBadr" w:hint="eastAsia"/>
          <w:sz w:val="28"/>
          <w:szCs w:val="28"/>
          <w:rtl/>
          <w:lang w:bidi="fa-IR"/>
        </w:rPr>
        <w:t>خورد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87022">
        <w:rPr>
          <w:rFonts w:ascii="IRBadr" w:hAnsi="IRBadr" w:cs="IRBadr" w:hint="eastAsia"/>
          <w:sz w:val="28"/>
          <w:szCs w:val="28"/>
          <w:rtl/>
          <w:lang w:bidi="fa-IR"/>
        </w:rPr>
        <w:t>ک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موردی است که مطلق از تخصیص اباء دارد.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مولا گفته است که بچه مرا نکش اما در حالتی که ناراحت شدی او را بکش.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مطلق از تخصیص اباء دارد.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اتقانی است که این حالت را قبول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187022">
        <w:rPr>
          <w:rFonts w:ascii="IRBadr" w:hAnsi="IRBadr" w:cs="IRBadr" w:hint="eastAsia"/>
          <w:sz w:val="28"/>
          <w:szCs w:val="28"/>
          <w:rtl/>
          <w:lang w:bidi="fa-IR"/>
        </w:rPr>
        <w:t>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B5E53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آ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87022">
        <w:rPr>
          <w:rFonts w:ascii="IRBadr" w:hAnsi="IRBadr" w:cs="IRBadr" w:hint="eastAsia"/>
          <w:sz w:val="28"/>
          <w:szCs w:val="28"/>
          <w:rtl/>
          <w:lang w:bidi="fa-IR"/>
        </w:rPr>
        <w:t>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شریفه</w:t>
      </w:r>
      <w:r w:rsidR="00187022">
        <w:rPr>
          <w:rFonts w:ascii="IRBadr" w:hAnsi="IRBadr" w:cs="IRBadr"/>
          <w:sz w:val="28"/>
          <w:szCs w:val="28"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«إِنَ</w:t>
      </w:r>
      <w:r w:rsidR="009D67FF" w:rsidRPr="0018702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الظَّنَ</w:t>
      </w:r>
      <w:r w:rsidR="009D67FF" w:rsidRPr="0018702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</w:t>
      </w:r>
      <w:r w:rsidR="00187022" w:rsidRPr="0018702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87022" w:rsidRP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غْنِ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87022" w:rsidRPr="0018702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مِنَ الْحَقِّ شَ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87022" w:rsidRP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ئاً</w:t>
      </w:r>
      <w:r w:rsidR="0018702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187022" w:rsidRPr="0018702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87022" w:rsidRPr="0018702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4179BA" w:rsidRDefault="00104BBF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ادعاشده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چراکه بیان چنان متقن است که از تخصیص اباء دارد.</w:t>
      </w:r>
    </w:p>
    <w:p w:rsidR="00104BBF" w:rsidRDefault="00104BBF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نیز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C26D84">
        <w:rPr>
          <w:rFonts w:ascii="IRBadr" w:hAnsi="IRBadr" w:cs="IRBadr" w:hint="cs"/>
          <w:sz w:val="28"/>
          <w:szCs w:val="28"/>
          <w:rtl/>
          <w:lang w:bidi="fa-IR"/>
        </w:rPr>
        <w:t xml:space="preserve"> علت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 w:rsidR="00C26D84">
        <w:rPr>
          <w:rFonts w:ascii="IRBadr" w:hAnsi="IRBadr" w:cs="IRBadr" w:hint="cs"/>
          <w:sz w:val="28"/>
          <w:szCs w:val="28"/>
          <w:rtl/>
          <w:lang w:bidi="fa-IR"/>
        </w:rPr>
        <w:t xml:space="preserve"> که من کسی که از سهم خود اخذ نموده</w:t>
      </w:r>
      <w:r w:rsidR="00187022">
        <w:rPr>
          <w:rFonts w:ascii="IRBadr" w:hAnsi="IRBadr" w:cs="IRBadr"/>
          <w:sz w:val="28"/>
          <w:szCs w:val="28"/>
          <w:lang w:bidi="fa-IR"/>
        </w:rPr>
        <w:t xml:space="preserve"> </w:t>
      </w:r>
      <w:r w:rsidR="00C53832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C26D84">
        <w:rPr>
          <w:rFonts w:ascii="IRBadr" w:hAnsi="IRBadr" w:cs="IRBadr" w:hint="cs"/>
          <w:sz w:val="28"/>
          <w:szCs w:val="28"/>
          <w:rtl/>
          <w:lang w:bidi="fa-IR"/>
        </w:rPr>
        <w:t xml:space="preserve"> مجازات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C26D84">
        <w:rPr>
          <w:rFonts w:ascii="IRBadr" w:hAnsi="IRBadr" w:cs="IRBadr" w:hint="cs"/>
          <w:sz w:val="28"/>
          <w:szCs w:val="28"/>
          <w:rtl/>
          <w:lang w:bidi="fa-IR"/>
        </w:rPr>
        <w:t>. در روایات دارای اتقانی است که از این تخصیص اباء دارد.</w:t>
      </w:r>
    </w:p>
    <w:p w:rsidR="00C26D84" w:rsidRDefault="00C26D84" w:rsidP="00187022">
      <w:pPr>
        <w:pStyle w:val="Heading2"/>
        <w:rPr>
          <w:rtl/>
        </w:rPr>
      </w:pPr>
      <w:bookmarkStart w:id="17" w:name="_Toc432794544"/>
      <w:r>
        <w:rPr>
          <w:rFonts w:hint="cs"/>
          <w:rtl/>
        </w:rPr>
        <w:t>پاسخ از استدلال فوق</w:t>
      </w:r>
      <w:bookmarkEnd w:id="17"/>
    </w:p>
    <w:p w:rsidR="00C26D84" w:rsidRDefault="00C26D84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جواب باید گفت که این اطلاق و علت از تخصیص اباء ندارد و به موارد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مقید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علت ممکن است قید بخورد که در اینجا این امکان وجود دارد.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 باید گفت اکثر مطلقات و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عام‌ها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3E6DEF" w:rsidRDefault="003E6DEF" w:rsidP="00187022">
      <w:pPr>
        <w:pStyle w:val="Heading3"/>
        <w:rPr>
          <w:rtl/>
        </w:rPr>
      </w:pPr>
      <w:bookmarkStart w:id="18" w:name="_Toc432794545"/>
      <w:r>
        <w:rPr>
          <w:rFonts w:hint="cs"/>
          <w:rtl/>
        </w:rPr>
        <w:lastRenderedPageBreak/>
        <w:t>دزدی در سایر موارد مال الشرکة</w:t>
      </w:r>
      <w:bookmarkEnd w:id="18"/>
    </w:p>
    <w:p w:rsidR="003E6DEF" w:rsidRDefault="00C53832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غیر غنایم از سایر مال الشرکة ها،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روایات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صرف‌نظر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نماییم،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دو جهت بحث شود.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مال الشرکة باید همین تفصیل را بدهیم یعنی بیان روایات به نحو بیان قاعده است.</w:t>
      </w:r>
    </w:p>
    <w:p w:rsidR="003E6DEF" w:rsidRDefault="003E6DEF" w:rsidP="00187022">
      <w:pPr>
        <w:pStyle w:val="Heading3"/>
        <w:rPr>
          <w:rtl/>
        </w:rPr>
      </w:pPr>
      <w:bookmarkStart w:id="19" w:name="_Toc432794546"/>
      <w:r>
        <w:rPr>
          <w:rFonts w:hint="cs"/>
          <w:rtl/>
        </w:rPr>
        <w:t>معانی سرقت</w:t>
      </w:r>
      <w:bookmarkEnd w:id="19"/>
    </w:p>
    <w:p w:rsidR="003E6DEF" w:rsidRDefault="003E6DEF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معنی دزدی سابقاً بیان شد که در اخذ در دزدی دو معنا دارد؛</w:t>
      </w:r>
    </w:p>
    <w:p w:rsidR="003E6DEF" w:rsidRDefault="003E6DEF" w:rsidP="00187022">
      <w:pPr>
        <w:pStyle w:val="Heading3"/>
        <w:rPr>
          <w:rtl/>
        </w:rPr>
      </w:pPr>
      <w:bookmarkStart w:id="20" w:name="_Toc432794547"/>
      <w:r>
        <w:rPr>
          <w:rFonts w:hint="cs"/>
          <w:rtl/>
        </w:rPr>
        <w:t>معنای اول</w:t>
      </w:r>
      <w:bookmarkEnd w:id="20"/>
    </w:p>
    <w:p w:rsidR="003E6DEF" w:rsidRDefault="003E6DEF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گاهی ممکن است معنی شود که برداشتن از غیر مال خودش است.</w:t>
      </w:r>
    </w:p>
    <w:p w:rsidR="003E6DEF" w:rsidRDefault="003E6DEF" w:rsidP="00187022">
      <w:pPr>
        <w:pStyle w:val="Heading3"/>
        <w:rPr>
          <w:rtl/>
        </w:rPr>
      </w:pPr>
      <w:bookmarkStart w:id="21" w:name="_Toc432794548"/>
      <w:r>
        <w:rPr>
          <w:rFonts w:hint="cs"/>
          <w:rtl/>
        </w:rPr>
        <w:t>معنای دوم</w:t>
      </w:r>
      <w:bookmarkEnd w:id="21"/>
    </w:p>
    <w:p w:rsidR="00C53832" w:rsidRDefault="003E6DEF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به معنی برداشتن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ازآنچه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حق تصرف در آن وجود ندارد که هرچند برای خود او باشد،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معنای دوم در اینجا سرقت محقق است اما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بنا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بسیار قوی بیان اول صحیح است،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B5E53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 شاء الله خواهد آمد.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مراد باشد،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لو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لاالروایات نیز همین معنی افاده داده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E6DEF" w:rsidRDefault="003E6DEF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هرچند خلاف شرعی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ازنظر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تکلیفی مرتکب شده است و گناه نموده است، اما چیزی مازاد بر آن، در آن سه فرض بر او نخواهد بود.</w:t>
      </w:r>
    </w:p>
    <w:p w:rsidR="003E6DEF" w:rsidRDefault="003E6DEF" w:rsidP="0018702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دلیل دوم این است که در روایات تعلیل عامی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البته دارای قیدی بود.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فرمودند که حد را بر کسی که از مال خود برداشته جاری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B5E53">
        <w:rPr>
          <w:rFonts w:ascii="IRBadr" w:hAnsi="IRBadr" w:cs="IRBadr"/>
          <w:sz w:val="28"/>
          <w:szCs w:val="28"/>
          <w:rtl/>
          <w:lang w:bidi="fa-IR"/>
        </w:rPr>
        <w:t>ازاین‌جهت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CB5E53">
        <w:rPr>
          <w:rFonts w:ascii="IRBadr" w:hAnsi="IRBadr" w:cs="IRBadr" w:hint="cs"/>
          <w:sz w:val="28"/>
          <w:szCs w:val="28"/>
          <w:rtl/>
          <w:lang w:bidi="fa-IR"/>
        </w:rPr>
        <w:t>مابین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مغنم،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 xml:space="preserve"> بیت‌المال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مواردی از این نظیر در حکم 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فرق </w:t>
      </w:r>
      <w:r w:rsidR="0018702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87022">
        <w:rPr>
          <w:rFonts w:ascii="IRBadr" w:hAnsi="IRBadr" w:cs="IRBadr" w:hint="cs"/>
          <w:sz w:val="28"/>
          <w:szCs w:val="28"/>
          <w:rtl/>
          <w:lang w:bidi="fa-IR"/>
        </w:rPr>
        <w:t>ی‌گذاریم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E6DEF" w:rsidRDefault="003E6DEF" w:rsidP="003E6D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E6DEF" w:rsidRPr="00BC1C66" w:rsidRDefault="003E6DEF" w:rsidP="003E6DEF">
      <w:pPr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sectPr w:rsidR="003E6DEF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C1" w:rsidRDefault="002817C1" w:rsidP="000D5800">
      <w:pPr>
        <w:spacing w:after="0" w:line="240" w:lineRule="auto"/>
      </w:pPr>
      <w:r>
        <w:separator/>
      </w:r>
    </w:p>
  </w:endnote>
  <w:endnote w:type="continuationSeparator" w:id="0">
    <w:p w:rsidR="002817C1" w:rsidRDefault="002817C1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2" w:rsidRDefault="00187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2" w:rsidRDefault="00187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2" w:rsidRDefault="00187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C1" w:rsidRDefault="002817C1" w:rsidP="00187022">
      <w:pPr>
        <w:spacing w:after="0" w:line="240" w:lineRule="auto"/>
        <w:jc w:val="right"/>
      </w:pPr>
      <w:r>
        <w:separator/>
      </w:r>
    </w:p>
  </w:footnote>
  <w:footnote w:type="continuationSeparator" w:id="0">
    <w:p w:rsidR="002817C1" w:rsidRDefault="002817C1" w:rsidP="000D5800">
      <w:pPr>
        <w:spacing w:after="0" w:line="240" w:lineRule="auto"/>
      </w:pPr>
      <w:r>
        <w:continuationSeparator/>
      </w:r>
    </w:p>
  </w:footnote>
  <w:footnote w:id="1">
    <w:p w:rsidR="00187022" w:rsidRDefault="0018702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6" w:name="_GoBack"/>
      <w:r w:rsidRPr="009D67FF">
        <w:rPr>
          <w:rFonts w:ascii="IRBadr" w:hAnsi="IRBadr" w:cs="IRBadr"/>
          <w:rtl/>
        </w:rPr>
        <w:t>الإستبصار</w:t>
      </w:r>
      <w:bookmarkEnd w:id="6"/>
      <w:r w:rsidRPr="009D67FF">
        <w:rPr>
          <w:rFonts w:ascii="IRBadr" w:hAnsi="IRBadr" w:cs="IRBadr"/>
          <w:rtl/>
        </w:rPr>
        <w:t xml:space="preserve"> ف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 xml:space="preserve">ما اختلف من الأخبار / </w:t>
      </w:r>
      <w:r>
        <w:rPr>
          <w:rFonts w:ascii="IRBadr" w:hAnsi="IRBadr" w:cs="IRBadr"/>
          <w:rtl/>
        </w:rPr>
        <w:t>ج 4</w:t>
      </w:r>
      <w:r w:rsidRPr="009D67FF">
        <w:rPr>
          <w:rFonts w:ascii="IRBadr" w:hAnsi="IRBadr" w:cs="IRBadr"/>
          <w:rtl/>
        </w:rPr>
        <w:t xml:space="preserve"> / 241 / 140 - باب من سرق ش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>ئا من المغنم ..... ص: 241</w:t>
      </w:r>
    </w:p>
  </w:footnote>
  <w:footnote w:id="2">
    <w:p w:rsidR="00187022" w:rsidRDefault="0018702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D67FF">
        <w:rPr>
          <w:rFonts w:ascii="IRBadr" w:hAnsi="IRBadr" w:cs="IRBadr"/>
          <w:rtl/>
        </w:rPr>
        <w:t xml:space="preserve">من </w:t>
      </w:r>
      <w:r w:rsidRPr="009D67FF">
        <w:rPr>
          <w:rFonts w:ascii="IRBadr" w:hAnsi="IRBadr" w:cs="IRBadr"/>
          <w:rtl/>
        </w:rPr>
        <w:t xml:space="preserve">لا 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>حضره الفق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 xml:space="preserve">ه / </w:t>
      </w:r>
      <w:r>
        <w:rPr>
          <w:rFonts w:ascii="IRBadr" w:hAnsi="IRBadr" w:cs="IRBadr"/>
          <w:rtl/>
        </w:rPr>
        <w:t>ج 4</w:t>
      </w:r>
      <w:r w:rsidRPr="009D67FF">
        <w:rPr>
          <w:rFonts w:ascii="IRBadr" w:hAnsi="IRBadr" w:cs="IRBadr"/>
          <w:rtl/>
        </w:rPr>
        <w:t xml:space="preserve"> / 63 / باب حد السرقة ..... ص: 60</w:t>
      </w:r>
    </w:p>
  </w:footnote>
  <w:footnote w:id="3">
    <w:p w:rsidR="00187022" w:rsidRDefault="0018702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D67FF">
        <w:rPr>
          <w:rFonts w:ascii="IRBadr" w:hAnsi="IRBadr" w:cs="IRBadr"/>
          <w:rtl/>
        </w:rPr>
        <w:t>تهذ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>ب الأح</w:t>
      </w:r>
      <w:r>
        <w:rPr>
          <w:rFonts w:ascii="IRBadr" w:hAnsi="IRBadr" w:cs="IRBadr"/>
          <w:rtl/>
        </w:rPr>
        <w:t>ک</w:t>
      </w:r>
      <w:r w:rsidRPr="009D67FF">
        <w:rPr>
          <w:rFonts w:ascii="IRBadr" w:hAnsi="IRBadr" w:cs="IRBadr"/>
          <w:rtl/>
        </w:rPr>
        <w:t>ام (تحق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 xml:space="preserve">ق خرسان) / </w:t>
      </w:r>
      <w:r>
        <w:rPr>
          <w:rFonts w:ascii="IRBadr" w:hAnsi="IRBadr" w:cs="IRBadr"/>
          <w:rtl/>
        </w:rPr>
        <w:t>ج 10</w:t>
      </w:r>
      <w:r w:rsidRPr="009D67FF">
        <w:rPr>
          <w:rFonts w:ascii="IRBadr" w:hAnsi="IRBadr" w:cs="IRBadr"/>
          <w:rtl/>
        </w:rPr>
        <w:t xml:space="preserve"> / 129 / 8 - باب الحد ف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 xml:space="preserve"> السرقة و الخ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>انة و الخلسة و نبش القبور و الخنق و الفساد ف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 xml:space="preserve"> الأرض</w:t>
      </w:r>
      <w:r>
        <w:rPr>
          <w:rFonts w:ascii="IRBadr" w:hAnsi="IRBadr" w:cs="IRBadr"/>
          <w:rtl/>
        </w:rPr>
        <w:t>ی</w:t>
      </w:r>
      <w:r w:rsidRPr="009D67FF">
        <w:rPr>
          <w:rFonts w:ascii="IRBadr" w:hAnsi="IRBadr" w:cs="IRBadr"/>
          <w:rtl/>
        </w:rPr>
        <w:t>ن ..... ص: 99</w:t>
      </w:r>
    </w:p>
  </w:footnote>
  <w:footnote w:id="4">
    <w:p w:rsidR="00187022" w:rsidRDefault="00187022" w:rsidP="009D67FF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IRBadr" w:hAnsi="IRBadr" w:cs="IRBadr" w:hint="cs"/>
          <w:rtl/>
        </w:rPr>
        <w:t>همان.</w:t>
      </w:r>
    </w:p>
  </w:footnote>
  <w:footnote w:id="5">
    <w:p w:rsidR="00187022" w:rsidRDefault="00187022" w:rsidP="0018702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ascii="IRBadr" w:hAnsi="IRBadr" w:cs="IRBadr"/>
          <w:rtl/>
        </w:rPr>
        <w:t>ی</w:t>
      </w:r>
      <w:r w:rsidRPr="00187022">
        <w:rPr>
          <w:rFonts w:ascii="IRBadr" w:hAnsi="IRBadr" w:cs="IRBadr"/>
          <w:rtl/>
        </w:rPr>
        <w:t>ونس</w:t>
      </w:r>
      <w:r>
        <w:rPr>
          <w:rFonts w:ascii="IRBadr" w:hAnsi="IRBadr" w:cs="IRBadr" w:hint="cs"/>
          <w:rtl/>
        </w:rPr>
        <w:t>/</w:t>
      </w:r>
      <w:r w:rsidRPr="00187022">
        <w:rPr>
          <w:rFonts w:ascii="IRBadr" w:hAnsi="IRBadr" w:cs="IRBadr"/>
          <w:rtl/>
        </w:rPr>
        <w:t xml:space="preserve"> </w:t>
      </w:r>
      <w:r w:rsidRPr="00187022">
        <w:rPr>
          <w:rFonts w:ascii="IRBadr" w:hAnsi="IRBadr" w:cs="IRBadr" w:hint="cs"/>
          <w:rtl/>
        </w:rPr>
        <w:t>36</w:t>
      </w:r>
      <w:r>
        <w:rPr>
          <w:rFonts w:ascii="IRBadr" w:hAnsi="IRBadr" w:cs="IRBadr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2" w:rsidRDefault="00187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2" w:rsidRPr="000D5800" w:rsidRDefault="00187022" w:rsidP="00844163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7BC5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2" w:name="OLE_LINK1"/>
    <w:bookmarkStart w:id="23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2"/>
    <w:bookmarkEnd w:id="23"/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  <w:lang w:bidi="fa-IR"/>
      </w:rPr>
      <w:t>868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2" w:rsidRDefault="00187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04BBF"/>
    <w:rsid w:val="00117955"/>
    <w:rsid w:val="00133E1D"/>
    <w:rsid w:val="0013617D"/>
    <w:rsid w:val="00136442"/>
    <w:rsid w:val="00150D4B"/>
    <w:rsid w:val="00152670"/>
    <w:rsid w:val="00153D1A"/>
    <w:rsid w:val="00156CF3"/>
    <w:rsid w:val="00166DD8"/>
    <w:rsid w:val="001712D6"/>
    <w:rsid w:val="001757C8"/>
    <w:rsid w:val="00177934"/>
    <w:rsid w:val="00187022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15050"/>
    <w:rsid w:val="00224C0A"/>
    <w:rsid w:val="002376A5"/>
    <w:rsid w:val="002417C9"/>
    <w:rsid w:val="002529C5"/>
    <w:rsid w:val="00270294"/>
    <w:rsid w:val="002817C1"/>
    <w:rsid w:val="002914BD"/>
    <w:rsid w:val="00297263"/>
    <w:rsid w:val="002A4F4D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D71F9"/>
    <w:rsid w:val="003E1E58"/>
    <w:rsid w:val="003E4ADF"/>
    <w:rsid w:val="003E6DEF"/>
    <w:rsid w:val="003F604C"/>
    <w:rsid w:val="00405199"/>
    <w:rsid w:val="00410699"/>
    <w:rsid w:val="00415360"/>
    <w:rsid w:val="004179BA"/>
    <w:rsid w:val="00432CD7"/>
    <w:rsid w:val="0044591E"/>
    <w:rsid w:val="004651D2"/>
    <w:rsid w:val="00465D26"/>
    <w:rsid w:val="004679F8"/>
    <w:rsid w:val="004A33E8"/>
    <w:rsid w:val="004B337F"/>
    <w:rsid w:val="004E7830"/>
    <w:rsid w:val="004F3596"/>
    <w:rsid w:val="0056275D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43F4"/>
    <w:rsid w:val="00636EFA"/>
    <w:rsid w:val="006378D3"/>
    <w:rsid w:val="0066229C"/>
    <w:rsid w:val="0069696C"/>
    <w:rsid w:val="006A085A"/>
    <w:rsid w:val="006B0BCE"/>
    <w:rsid w:val="006D3A87"/>
    <w:rsid w:val="006F01B4"/>
    <w:rsid w:val="0072383B"/>
    <w:rsid w:val="0073393E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4163"/>
    <w:rsid w:val="00845CC4"/>
    <w:rsid w:val="008644F4"/>
    <w:rsid w:val="00883733"/>
    <w:rsid w:val="008965D2"/>
    <w:rsid w:val="008A236D"/>
    <w:rsid w:val="008B565A"/>
    <w:rsid w:val="008C0719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D67F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BE113E"/>
    <w:rsid w:val="00C160AF"/>
    <w:rsid w:val="00C22299"/>
    <w:rsid w:val="00C25609"/>
    <w:rsid w:val="00C26607"/>
    <w:rsid w:val="00C26D84"/>
    <w:rsid w:val="00C53832"/>
    <w:rsid w:val="00C60D75"/>
    <w:rsid w:val="00C61D55"/>
    <w:rsid w:val="00C64CEA"/>
    <w:rsid w:val="00C73012"/>
    <w:rsid w:val="00C7623D"/>
    <w:rsid w:val="00C763DD"/>
    <w:rsid w:val="00C84FC0"/>
    <w:rsid w:val="00C9244A"/>
    <w:rsid w:val="00CA76A9"/>
    <w:rsid w:val="00CB5DA3"/>
    <w:rsid w:val="00CB5E53"/>
    <w:rsid w:val="00CC1BE2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AD3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14E9"/>
    <w:rsid w:val="00E31FE4"/>
    <w:rsid w:val="00E53DE6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9E58-5B06-4529-BA17-72D5D2F8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1007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81</cp:revision>
  <dcterms:created xsi:type="dcterms:W3CDTF">2014-11-18T06:47:00Z</dcterms:created>
  <dcterms:modified xsi:type="dcterms:W3CDTF">2015-10-17T04:40:00Z</dcterms:modified>
</cp:coreProperties>
</file>