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AF" w:rsidRPr="00EA45EB" w:rsidRDefault="00496073" w:rsidP="000F43D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DE0AAF"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</w:t>
      </w:r>
    </w:p>
    <w:p w:rsidR="000F43D6" w:rsidRPr="00EA45EB" w:rsidRDefault="000F43D6" w:rsidP="000F43D6">
      <w:pPr>
        <w:bidi/>
        <w:jc w:val="both"/>
        <w:rPr>
          <w:rFonts w:ascii="IRBadr" w:hAnsi="IRBadr" w:cs="IRBadr"/>
          <w:noProof/>
        </w:rPr>
      </w:pPr>
      <w:r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 :</w:t>
      </w:r>
      <w:r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EA45EB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EA45EB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EA45EB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0F43D6" w:rsidRPr="00EA45EB" w:rsidRDefault="002D3EA6" w:rsidP="000F43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76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طرق ثبوت سرقت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_Toc428135676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1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77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ادله حجیت اقرار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_Toc428135677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2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78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تفاوت اقرار در این مقام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_Toc428135678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2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79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جمع‌بندی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_Toc428135679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2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0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اقوال در این مقام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_Toc428135680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2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1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اقوال عامه در این باب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_Toc428135681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3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2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_Toc428135682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3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3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روایات طایفه اول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_Toc428135683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3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4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روایت اول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_Toc428135684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3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5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بررسی سندی روایت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_Toc428135685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3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6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بررسی دلالی روایت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_Toc428135686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4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7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روایت دوم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_Toc428135687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4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8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بررسی دلالی روایت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_Toc428135688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5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89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_Toc428135689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5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2D3EA6" w:rsidP="000F43D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690" w:history="1">
        <w:r w:rsidR="000F43D6" w:rsidRPr="00EA45EB">
          <w:rPr>
            <w:rStyle w:val="Hyperlink"/>
            <w:rFonts w:ascii="IRBadr" w:hAnsi="IRBadr" w:cs="IRBadr"/>
            <w:noProof/>
            <w:rtl/>
          </w:rPr>
          <w:t>روایت سوم</w:t>
        </w:r>
        <w:r w:rsidR="000F43D6" w:rsidRPr="00EA45EB">
          <w:rPr>
            <w:rFonts w:ascii="IRBadr" w:hAnsi="IRBadr" w:cs="IRBadr"/>
            <w:noProof/>
            <w:webHidden/>
          </w:rPr>
          <w:tab/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F43D6" w:rsidRPr="00EA45EB">
          <w:rPr>
            <w:rFonts w:ascii="IRBadr" w:hAnsi="IRBadr" w:cs="IRBadr"/>
            <w:noProof/>
            <w:webHidden/>
          </w:rPr>
          <w:instrText xml:space="preserve"> PAGEREF _Toc428135690 \h </w:instrText>
        </w:r>
        <w:r w:rsidR="000F43D6" w:rsidRPr="00EA45EB">
          <w:rPr>
            <w:rStyle w:val="Hyperlink"/>
            <w:rFonts w:ascii="IRBadr" w:hAnsi="IRBadr" w:cs="IRBadr"/>
            <w:noProof/>
            <w:rtl/>
          </w:rPr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F43D6" w:rsidRPr="00EA45EB">
          <w:rPr>
            <w:rFonts w:ascii="IRBadr" w:hAnsi="IRBadr" w:cs="IRBadr"/>
            <w:noProof/>
            <w:webHidden/>
          </w:rPr>
          <w:t>5</w:t>
        </w:r>
        <w:r w:rsidR="000F43D6" w:rsidRPr="00EA45E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F43D6" w:rsidRPr="00EA45EB" w:rsidRDefault="000F43D6" w:rsidP="000F43D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EA45EB" w:rsidRDefault="00EA45EB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135676"/>
      <w:r>
        <w:rPr>
          <w:rFonts w:ascii="IRBadr" w:hAnsi="IRBadr" w:cs="IRBadr"/>
          <w:rtl/>
        </w:rPr>
        <w:br w:type="page"/>
      </w:r>
    </w:p>
    <w:p w:rsidR="00DE0AAF" w:rsidRPr="00EA45EB" w:rsidRDefault="00DE0AAF" w:rsidP="000F43D6">
      <w:pPr>
        <w:pStyle w:val="Heading1"/>
        <w:rPr>
          <w:rFonts w:ascii="IRBadr" w:hAnsi="IRBadr" w:cs="IRBadr"/>
          <w:rtl/>
        </w:rPr>
      </w:pPr>
      <w:r w:rsidRPr="00EA45EB">
        <w:rPr>
          <w:rFonts w:ascii="IRBadr" w:hAnsi="IRBadr" w:cs="IRBadr"/>
          <w:rtl/>
        </w:rPr>
        <w:lastRenderedPageBreak/>
        <w:t>طرق ثبوت سرقت</w:t>
      </w:r>
      <w:bookmarkEnd w:id="0"/>
    </w:p>
    <w:p w:rsidR="00DE0AAF" w:rsidRPr="00EA45EB" w:rsidRDefault="005C0D0A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>راه‌هایی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که برای ثبوت سرقت قرار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به‌مراتب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سخت‌گیرانه‌تر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از اثبات ضمان در سرقت است،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راه‌هایی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بیان شود،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منظور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راه‌های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ثبوت قطع است و ممکن است با یکی از این 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راه‌ها</w:t>
      </w:r>
      <w:r w:rsidR="00DE0AAF" w:rsidRPr="00EA45EB">
        <w:rPr>
          <w:rFonts w:ascii="IRBadr" w:hAnsi="IRBadr" w:cs="IRBadr"/>
          <w:sz w:val="28"/>
          <w:szCs w:val="28"/>
          <w:rtl/>
          <w:lang w:bidi="fa-IR"/>
        </w:rPr>
        <w:t xml:space="preserve"> ضمان ثابت گردد.</w:t>
      </w:r>
    </w:p>
    <w:p w:rsidR="00DE0AAF" w:rsidRPr="00EA45EB" w:rsidRDefault="00DE0AAF" w:rsidP="000F43D6">
      <w:pPr>
        <w:pStyle w:val="Heading1"/>
        <w:rPr>
          <w:rFonts w:ascii="IRBadr" w:hAnsi="IRBadr" w:cs="IRBadr"/>
          <w:rtl/>
        </w:rPr>
      </w:pPr>
      <w:bookmarkStart w:id="1" w:name="_Toc428135677"/>
      <w:r w:rsidRPr="00EA45EB">
        <w:rPr>
          <w:rFonts w:ascii="IRBadr" w:hAnsi="IRBadr" w:cs="IRBadr"/>
          <w:rtl/>
        </w:rPr>
        <w:t>ادله حجیت اقرار</w:t>
      </w:r>
      <w:bookmarkEnd w:id="1"/>
    </w:p>
    <w:p w:rsidR="00DE0AAF" w:rsidRPr="00EA45EB" w:rsidRDefault="00DE0AAF" w:rsidP="001B773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یکی از طرق اثبات دعوا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اقرار است. یکی از ادله حجیت اقرار سیره مسلم عقلاست که در این مقام وجود دارد و در شرع نیز نسبت به آن ردعی صورت نگرفته است،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بر آن موارد متعددی در فقه وجود دارد که در آن از اقرار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یکی از طرق اثبات دعاوی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استفاده‌شده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زیاد است که انسان مطمئن می‌شود که می‌شود ال</w:t>
      </w:r>
      <w:r w:rsidR="001B7739">
        <w:rPr>
          <w:rFonts w:ascii="IRBadr" w:hAnsi="IRBadr" w:cs="IRBadr" w:hint="cs"/>
          <w:sz w:val="28"/>
          <w:szCs w:val="28"/>
          <w:rtl/>
          <w:lang w:bidi="fa-IR"/>
        </w:rPr>
        <w:t>غ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ا</w:t>
      </w:r>
      <w:bookmarkStart w:id="2" w:name="_GoBack"/>
      <w:bookmarkEnd w:id="2"/>
      <w:r w:rsidRPr="00EA45EB">
        <w:rPr>
          <w:rFonts w:ascii="IRBadr" w:hAnsi="IRBadr" w:cs="IRBadr"/>
          <w:sz w:val="28"/>
          <w:szCs w:val="28"/>
          <w:rtl/>
          <w:lang w:bidi="fa-IR"/>
        </w:rPr>
        <w:t>ی خصوصیت کرد و قاعده کلی به دست آورد.</w:t>
      </w:r>
    </w:p>
    <w:p w:rsidR="00DE0AAF" w:rsidRPr="00EA45EB" w:rsidRDefault="00DE0AAF" w:rsidP="000F43D6">
      <w:pPr>
        <w:pStyle w:val="Heading1"/>
        <w:rPr>
          <w:rFonts w:ascii="IRBadr" w:hAnsi="IRBadr" w:cs="IRBadr"/>
          <w:rtl/>
        </w:rPr>
      </w:pPr>
      <w:bookmarkStart w:id="3" w:name="_Toc428135678"/>
      <w:r w:rsidRPr="00EA45EB">
        <w:rPr>
          <w:rFonts w:ascii="IRBadr" w:hAnsi="IRBadr" w:cs="IRBadr"/>
          <w:rtl/>
        </w:rPr>
        <w:t>تفاوت اقرار در این مقام</w:t>
      </w:r>
      <w:bookmarkEnd w:id="3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>البته مراد از اقرار،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اقرار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علی الانفس است، اقراری که به ضرر خود فرد باشد، در اینجا اختلاف جزیی وجود دارد که اقرار در باب سرقت از سایر اقرارها دارای تفاوتی است،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قاعده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اقرار کفایت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اما در اینجا در مواردی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است که باید بیش از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باید توجه داشت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که اشاره شد بحث در اقرار مثبت حد است نه مثبت ضمان.</w:t>
      </w:r>
    </w:p>
    <w:p w:rsidR="00DE0AAF" w:rsidRPr="00EA45EB" w:rsidRDefault="00496073" w:rsidP="000F43D6">
      <w:pPr>
        <w:pStyle w:val="Heading1"/>
        <w:rPr>
          <w:rFonts w:ascii="IRBadr" w:hAnsi="IRBadr" w:cs="IRBadr"/>
          <w:rtl/>
        </w:rPr>
      </w:pPr>
      <w:bookmarkStart w:id="4" w:name="_Toc428135679"/>
      <w:r w:rsidRPr="00EA45EB">
        <w:rPr>
          <w:rFonts w:ascii="IRBadr" w:hAnsi="IRBadr" w:cs="IRBadr"/>
          <w:rtl/>
        </w:rPr>
        <w:t>جمع‌بندی</w:t>
      </w:r>
      <w:bookmarkEnd w:id="4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پس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اقرار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مثبت ضمان باشد،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طبق عقیده مشهور چه در خاصه و چه در عامه مثبتیتی در قبال حد ندارد بلکه اقرار باید تکرر پیدا بکند تا حد قطع ثابت شود.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پس در مواردی این قاعده کلی تخصیص خورده است. یکی در باب زنا است که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باید چهار بار اقرار کند. در باب سرقت هم این قاعده کلی که اقرار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کافی است، تخصیص خورده به اینکه باید دو بار باشد و عند القاضی تکرار شود.</w:t>
      </w:r>
    </w:p>
    <w:p w:rsidR="00DE0AAF" w:rsidRPr="00EA45EB" w:rsidRDefault="00DE0AAF" w:rsidP="000F43D6">
      <w:pPr>
        <w:pStyle w:val="Heading1"/>
        <w:rPr>
          <w:rFonts w:ascii="IRBadr" w:hAnsi="IRBadr" w:cs="IRBadr"/>
          <w:rtl/>
        </w:rPr>
      </w:pPr>
      <w:bookmarkStart w:id="5" w:name="_Toc428135680"/>
      <w:r w:rsidRPr="00EA45EB">
        <w:rPr>
          <w:rFonts w:ascii="IRBadr" w:hAnsi="IRBadr" w:cs="IRBadr"/>
          <w:rtl/>
        </w:rPr>
        <w:lastRenderedPageBreak/>
        <w:t>اقوال در این مقام</w:t>
      </w:r>
      <w:bookmarkEnd w:id="5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در بین متأخرین آقای خویی و تبریزی معتقد به اعتبار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در باب سرقت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.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بین متأخرین هم مثل حضرت امام و آقای فاضل به همین ضرورت دو بار رأی دادند که قول اول باشد. مرحوم آقای خوانساری هم در جامع المدارک با یک ابهام و تردیدی با مسئله مواجه شده است. گرچه شاید بیشتر قول مشهور را ترجیح داده است.</w:t>
      </w:r>
    </w:p>
    <w:p w:rsidR="00DE0AAF" w:rsidRPr="00EA45EB" w:rsidRDefault="00DE0AAF" w:rsidP="000F43D6">
      <w:pPr>
        <w:pStyle w:val="Heading1"/>
        <w:rPr>
          <w:rFonts w:ascii="IRBadr" w:hAnsi="IRBadr" w:cs="IRBadr"/>
          <w:rtl/>
        </w:rPr>
      </w:pPr>
      <w:bookmarkStart w:id="6" w:name="_Toc428135681"/>
      <w:r w:rsidRPr="00EA45EB">
        <w:rPr>
          <w:rFonts w:ascii="IRBadr" w:hAnsi="IRBadr" w:cs="IRBadr"/>
          <w:rtl/>
        </w:rPr>
        <w:t>اقوال عامه در این باب</w:t>
      </w:r>
      <w:bookmarkEnd w:id="6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از عامه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است که در این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ابن ابی لیلا، ابی یوسف،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ظهیر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و ابن شرمه طبق روایت امام علی (ع) به قول مشهور قائل هستند اما در نقطه مقابل عطاء،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سوری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ابی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حنیفه،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شافعی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و محمد بن حسن به اعتبار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معتقد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.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اعتقاد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گروه دوم بر این است که در اینجا نیز بر اساس همان قاعده کلی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کفایت خواهد کرد.</w:t>
      </w:r>
    </w:p>
    <w:p w:rsidR="00DE0AAF" w:rsidRPr="00EA45EB" w:rsidRDefault="00DE0AAF" w:rsidP="000F43D6">
      <w:pPr>
        <w:pStyle w:val="Heading2"/>
        <w:rPr>
          <w:rFonts w:ascii="IRBadr" w:hAnsi="IRBadr" w:cs="IRBadr"/>
          <w:rtl/>
        </w:rPr>
      </w:pPr>
      <w:bookmarkStart w:id="7" w:name="_Toc428135682"/>
      <w:r w:rsidRPr="00EA45EB">
        <w:rPr>
          <w:rFonts w:ascii="IRBadr" w:hAnsi="IRBadr" w:cs="IRBadr"/>
          <w:rtl/>
        </w:rPr>
        <w:t>مستندات بحث</w:t>
      </w:r>
      <w:bookmarkEnd w:id="7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طبعاً به خاطر مخالفت حکم به دو بار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باقاعده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در اقرار همانند باب زنا نیز باید دلیلی خاص وجود داشته باشد،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اینجا ما دو طایفه روایات داریم که یک طایفه دلالت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بر دو بار می‌کند و یک طایفه بر همان کفایت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در اقرار دلالت می‌کند. این روایات در همین جلد هیجده، ابواب حد سرقت، باب سوم، صفحه چهارصد و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هشتادوهفت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DE0AAF" w:rsidRPr="00EA45EB" w:rsidRDefault="00DE0AAF" w:rsidP="000F43D6">
      <w:pPr>
        <w:pStyle w:val="Heading2"/>
        <w:rPr>
          <w:rFonts w:ascii="IRBadr" w:hAnsi="IRBadr" w:cs="IRBadr"/>
          <w:rtl/>
        </w:rPr>
      </w:pPr>
      <w:bookmarkStart w:id="8" w:name="_Toc428135683"/>
      <w:r w:rsidRPr="00EA45EB">
        <w:rPr>
          <w:rFonts w:ascii="IRBadr" w:hAnsi="IRBadr" w:cs="IRBadr"/>
          <w:rtl/>
        </w:rPr>
        <w:t>روایات طایفه اول</w:t>
      </w:r>
      <w:bookmarkEnd w:id="8"/>
    </w:p>
    <w:p w:rsidR="00DE0AAF" w:rsidRPr="00EA45EB" w:rsidRDefault="00DE0AAF" w:rsidP="000F43D6">
      <w:pPr>
        <w:pStyle w:val="Heading2"/>
        <w:rPr>
          <w:rFonts w:ascii="IRBadr" w:hAnsi="IRBadr" w:cs="IRBadr"/>
          <w:rtl/>
        </w:rPr>
      </w:pPr>
      <w:bookmarkStart w:id="9" w:name="_Toc428135684"/>
      <w:r w:rsidRPr="00EA45EB">
        <w:rPr>
          <w:rFonts w:ascii="IRBadr" w:hAnsi="IRBadr" w:cs="IRBadr"/>
          <w:rtl/>
        </w:rPr>
        <w:t>روایت اول</w:t>
      </w:r>
      <w:bookmarkEnd w:id="9"/>
    </w:p>
    <w:p w:rsidR="00DE0AAF" w:rsidRPr="00EA45EB" w:rsidRDefault="00DE0AAF" w:rsidP="000F43D6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0"/>
          <w:szCs w:val="20"/>
          <w:rtl/>
          <w:lang w:bidi="fa-IR"/>
        </w:rPr>
      </w:pP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مُحَمَّدٍ عَنْ عَلِ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حَدِ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جَمِ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لِ بْنِ دَرَّاجٍ عَنْ بَعْضِ أَصْحَابِنَا عَنْ أَحَدِهِمَا ع فِ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رَجُلٍ أَقَرَّ عَلَ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نَفْسِهِ بِالزِّنَ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أَرْبَعَ مَرَّاتٍ وَ هُوَ مُحْصَنٌ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رْجَمُ إِلَ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مُوتَ أَوْ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ذِّبَ نَفْسَهُ قَبْلَ أَنْ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رْجَمَ فَ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قُولَ لَمْ أَفْعَلْ فَإِنْ قَالَ ذَلِ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تُرِ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لَمْ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رْجَمْ وَ قَالَ لَا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قْطَعُ السَّارِقُ حَتَّ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قِرَّ بِالسَّرِقَةِ مَرَّتَ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فَإِنْ رَجَعَ ضَمِنَ السَّرِقَةَ وَ لَمْ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قْطَعْ إِذَا لَمْ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 شُهُودٌ وَ قَالَ لَا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رْجَمُ الزَّانِ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حَتَّ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قِرَّ أَرْبَعَ مَرَّاتٍ بِالزِّنَ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إِذَا لَمْ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 شُهُودٌ فَإِنْ رَجَعَ تُرِ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لَمْ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رْجَمْ.»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طبق روایت برای قطع ید دو بار اقرار لازم است اما برای ضمان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اقرار کفایت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E0AAF" w:rsidRPr="00EA45EB" w:rsidRDefault="00DE0AAF" w:rsidP="000F43D6">
      <w:pPr>
        <w:pStyle w:val="Heading2"/>
        <w:rPr>
          <w:rFonts w:ascii="IRBadr" w:hAnsi="IRBadr" w:cs="IRBadr"/>
          <w:rtl/>
        </w:rPr>
      </w:pPr>
      <w:bookmarkStart w:id="10" w:name="_Toc428135685"/>
      <w:r w:rsidRPr="00EA45EB">
        <w:rPr>
          <w:rFonts w:ascii="IRBadr" w:hAnsi="IRBadr" w:cs="IRBadr"/>
          <w:rtl/>
        </w:rPr>
        <w:t>بررسی سندی روایت</w:t>
      </w:r>
      <w:bookmarkEnd w:id="10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روایت فوق روایتی مرسل است ولی ادامه سند صحیح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.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قبال جمیل بن دراج اجماع وجود دارد و اگر کسی این اجماع را نپذیرد،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ارسال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او در اینجا مضر نخواهد بود.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در میان اصحاب اجماع تنها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سه‌نفری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که در عده شیخ نامبرده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را قبول داریم،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قبال آن سه نفر روایاتی که اسم برده و توثیق کرده باشند را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می‌پذیریم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اما مرسلات آن‌ها را قبول نداریم. لذا ارسال این روایت موجب ضعف می‌شود مگر اینکه کسی اصحاب اجماع را به آن کلیت قبول داشته باشد.</w:t>
      </w:r>
    </w:p>
    <w:p w:rsidR="00DE0AAF" w:rsidRPr="00EA45EB" w:rsidRDefault="00DE0AAF" w:rsidP="000F43D6">
      <w:pPr>
        <w:pStyle w:val="Heading2"/>
        <w:rPr>
          <w:rFonts w:ascii="IRBadr" w:hAnsi="IRBadr" w:cs="IRBadr"/>
          <w:rtl/>
        </w:rPr>
      </w:pPr>
      <w:bookmarkStart w:id="11" w:name="_Toc428135686"/>
      <w:r w:rsidRPr="00EA45EB">
        <w:rPr>
          <w:rFonts w:ascii="IRBadr" w:hAnsi="IRBadr" w:cs="IRBadr"/>
          <w:rtl/>
        </w:rPr>
        <w:t>بررسی دلالی روایت</w:t>
      </w:r>
      <w:bookmarkEnd w:id="11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دو احتمال در رجع است. یکی اینکه بعد از دو اقرار رجوع کرد. یکی اینکه بین این‌ها رجوع نموده است. شاید ظهور اولیه‌اش همین باشد که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بعدازاینکه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دو بار اقرار محقق شد رجوع کرده است. ولی بعضی بر رجوع بین الاقرارین حمل کردند که آن در جای خودش باید بحث بشود.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در اینجا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مدنظر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است این بوده که این روایت مخصص قاعده کلی اقرار است.</w:t>
      </w:r>
    </w:p>
    <w:p w:rsidR="00DE0AAF" w:rsidRPr="00EA45EB" w:rsidRDefault="00DE0AAF" w:rsidP="000F43D6">
      <w:pPr>
        <w:pStyle w:val="Heading2"/>
        <w:rPr>
          <w:rFonts w:ascii="IRBadr" w:hAnsi="IRBadr" w:cs="IRBadr"/>
          <w:rtl/>
        </w:rPr>
      </w:pPr>
      <w:bookmarkStart w:id="12" w:name="_Toc428135687"/>
      <w:r w:rsidRPr="00EA45EB">
        <w:rPr>
          <w:rFonts w:ascii="IRBadr" w:hAnsi="IRBadr" w:cs="IRBadr"/>
          <w:rtl/>
        </w:rPr>
        <w:t>روایت دوم</w:t>
      </w:r>
      <w:bookmarkEnd w:id="12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>دلیل دیگر روایت چهارم این باب است که سندش کاملاً معتبر است؛</w:t>
      </w:r>
    </w:p>
    <w:p w:rsidR="00DE0AAF" w:rsidRPr="00EA45EB" w:rsidRDefault="00DE0AAF" w:rsidP="000F43D6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«وَ عَنْهُ عَنْ فَضَالَةَ عَنْ أَبَانِ بْنِ عُثْمَانَ عَنْ أَبِ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أَنَّهُ قَالَ: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نْتُ عِنْدَ عِ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مُوسَ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- فَأُتِ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بِسَارِقٍ وَ عِنْدَهُ رَجُلٌ مِنْ آلِ عُمَرَ فَأَقْبَلَ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سْأَلُنِ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- فَقُلْتُ مَا تَقُولُ فِ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السَّارِقِ- إِذَا أَقَرَّ عَلَ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نَفْسِهِ أَنَّهُ سَرَقَ قَالَ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قْطَعُ- قُلْتُ (فَمَا تَقُولُ فِ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الزِّنَا)- إِذَا أَقَرَّ عَلَ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نَفْسِهِ أَرْبَعَ مَرَّاتٍ قَالَ نَرْجُمُهُ- قُلْتُ وَ مَا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مْنَعُ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 مِنَ السَّارِقِ- إِذَا أَقَرَّ عَلَ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نَفْسِهِ مَرَّتَ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نِ- أَنْ تَقْطَعُوهُ فَ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ونَ بِمَنْزِلَةِ الزَّانِ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.» 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>امام می‌گوید نزد عیسی بن موسی بودم که احتمالاً حاکم مدینه یا قاضی آنجا بوده است که دزدی را آوردند از آل عمر و در آن مجلس عیسی بن موسی از من سؤالاتی پرسید،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به او گفتم نظر تو در قبال سارق چیست؟</w:t>
      </w:r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او گفت رجم می‌کنیم. حضرت می‌گوید از او (که عامه بوده است) سؤال کردم اگر کسی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به سرقت اقرار کند حکم تو چیست؟ می‌گوید دستش را قطع می‌کنم.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حضرت می‌فرماید اگر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است چه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بازمی‌دارد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که در سارق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دو بار را ملاک قرار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نمی‌دهید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تا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به‌منزله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زانی باشد؟ دلالت و سند این روایت معتبر است و بسیاری از قائلین قول اول بدان تکیه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E0AAF" w:rsidRPr="00EA45EB" w:rsidRDefault="00DE0AAF" w:rsidP="000F43D6">
      <w:pPr>
        <w:pStyle w:val="Heading2"/>
        <w:rPr>
          <w:rFonts w:ascii="IRBadr" w:hAnsi="IRBadr" w:cs="IRBadr"/>
          <w:rtl/>
        </w:rPr>
      </w:pPr>
      <w:bookmarkStart w:id="13" w:name="_Toc428135688"/>
      <w:r w:rsidRPr="00EA45EB">
        <w:rPr>
          <w:rFonts w:ascii="IRBadr" w:hAnsi="IRBadr" w:cs="IRBadr"/>
          <w:rtl/>
        </w:rPr>
        <w:t>بررسی دلالی روایت</w:t>
      </w:r>
      <w:bookmarkEnd w:id="13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در روایت دو احتمال وجود دارد یکی اینکه حضرت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می‌خواهند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به او بفرمایند حق این است که باید در این مقام دو بار اقرار صورت بگیرد،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که آقای تبریزی این احتمال را مطرح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>، منتها به آن‌ها می‌گوید، شما که اهل قیاسید چرا اینجا قیاس نمی‌کنید؟! یک احتمال نیز این است که حقیقتاً نظر امام همین بوده است.</w:t>
      </w:r>
    </w:p>
    <w:p w:rsidR="00DE0AAF" w:rsidRPr="00EA45EB" w:rsidRDefault="00DE0AAF" w:rsidP="000F43D6">
      <w:pPr>
        <w:pStyle w:val="Heading2"/>
        <w:rPr>
          <w:rFonts w:ascii="IRBadr" w:hAnsi="IRBadr" w:cs="IRBadr"/>
          <w:rtl/>
        </w:rPr>
      </w:pPr>
      <w:bookmarkStart w:id="14" w:name="_Toc428135689"/>
      <w:r w:rsidRPr="00EA45EB">
        <w:rPr>
          <w:rFonts w:ascii="IRBadr" w:hAnsi="IRBadr" w:cs="IRBadr"/>
          <w:rtl/>
        </w:rPr>
        <w:t>اتخاذ مبنا</w:t>
      </w:r>
      <w:bookmarkEnd w:id="14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>با قرینه قاطعی نتوانستم رجحانی بین یکی از دو احتمال پیدا کنم. و بیشتر به ذهن می‌آید که این روایت حالت اجمال دارد. معلوم نیست فضای بحث چه بوده است.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در اینجا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احتمال سومی را مطرح نمود که امام در مقام بیان یکی از دو قول </w:t>
      </w:r>
      <w:r w:rsidR="005C0D0A" w:rsidRPr="00EA45EB">
        <w:rPr>
          <w:rFonts w:ascii="IRBadr" w:hAnsi="IRBadr" w:cs="IRBadr"/>
          <w:sz w:val="28"/>
          <w:szCs w:val="28"/>
          <w:rtl/>
          <w:lang w:bidi="fa-IR"/>
        </w:rPr>
        <w:t>نبوده‌اند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. می‌خواهد به او بگوید نظرتان صدر و ذیلش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باهم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سازگار نیست. اگر شما قیاس را قبول دارید باید برسید به دو بار. اگر قبول ندارید مبنایتان درست نیست و این نتیجه که می‌گیرید با مقدماتتان سازگار نیست.</w:t>
      </w:r>
    </w:p>
    <w:p w:rsidR="00DE0AAF" w:rsidRPr="00EA45EB" w:rsidRDefault="00DE0AAF" w:rsidP="000F43D6">
      <w:pPr>
        <w:pStyle w:val="Heading2"/>
        <w:rPr>
          <w:rFonts w:ascii="IRBadr" w:hAnsi="IRBadr" w:cs="IRBadr"/>
          <w:rtl/>
        </w:rPr>
      </w:pPr>
      <w:bookmarkStart w:id="15" w:name="_Toc428135690"/>
      <w:r w:rsidRPr="00EA45EB">
        <w:rPr>
          <w:rFonts w:ascii="IRBadr" w:hAnsi="IRBadr" w:cs="IRBadr"/>
          <w:rtl/>
        </w:rPr>
        <w:t>روایت سوم</w:t>
      </w:r>
      <w:bookmarkEnd w:id="15"/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این روایت هم سندش ضعیف است یا </w:t>
      </w:r>
      <w:r w:rsidR="00496073" w:rsidRPr="00EA45EB">
        <w:rPr>
          <w:rFonts w:ascii="IRBadr" w:hAnsi="IRBadr" w:cs="IRBadr"/>
          <w:sz w:val="28"/>
          <w:szCs w:val="28"/>
          <w:rtl/>
          <w:lang w:bidi="fa-IR"/>
        </w:rPr>
        <w:t>مبتلابه</w:t>
      </w:r>
      <w:r w:rsidRPr="00EA45EB">
        <w:rPr>
          <w:rFonts w:ascii="IRBadr" w:hAnsi="IRBadr" w:cs="IRBadr"/>
          <w:sz w:val="28"/>
          <w:szCs w:val="28"/>
          <w:rtl/>
          <w:lang w:bidi="fa-IR"/>
        </w:rPr>
        <w:t xml:space="preserve"> تضعیف است و یا توثیقی ندارد و مانع در قبال علی بن سندی است که توثیقی ندارد.</w:t>
      </w:r>
    </w:p>
    <w:p w:rsidR="00DE0AAF" w:rsidRPr="00EA45EB" w:rsidRDefault="00DE0AAF" w:rsidP="000F43D6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« عَنْ عَلِ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حَدِ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جَمِ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لِ بْنِ دَرَّاجٍ عَنْ بَعْضِ أَصْحَابِنَا عَنْ أَحَدِهِمَا ع قَالَ: لَا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قْطَعُ السَّارِقُ حَتَّ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قِرَّ بِالسَّرِقَةِ مَرَّتَ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فَإِنْ رَجَعَ ضَمِنَ السَّرِقَةَ وَ لَمْ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قْطَعْ إِذَا لَمْ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 شُهُودٌ وَ قَالَ لَا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رْجَمُ الزَّانِ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حَتَّ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قِرَّ أَرْبَعَ مَرَّاتٍ إِذَا لَمْ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 شُهُودٌ فَإِنْ رَجَعَ تُرِ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لَمْ 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رْجَمْ.</w:t>
      </w:r>
      <w:r w:rsidR="005C0D0A"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EA45EB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DE0AAF" w:rsidRPr="00EA45EB" w:rsidRDefault="00DE0AAF" w:rsidP="000F43D6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color w:val="000000"/>
          <w:sz w:val="2"/>
          <w:szCs w:val="2"/>
          <w:rtl/>
          <w:lang w:bidi="fa-IR"/>
        </w:rPr>
      </w:pPr>
    </w:p>
    <w:p w:rsidR="00DE0AAF" w:rsidRPr="00EA45EB" w:rsidRDefault="00DE0AAF" w:rsidP="000F43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EA45EB" w:rsidRDefault="00152670" w:rsidP="000F43D6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EA45EB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A6" w:rsidRDefault="002D3EA6" w:rsidP="000D5800">
      <w:pPr>
        <w:spacing w:after="0" w:line="240" w:lineRule="auto"/>
      </w:pPr>
      <w:r>
        <w:separator/>
      </w:r>
    </w:p>
  </w:endnote>
  <w:endnote w:type="continuationSeparator" w:id="0">
    <w:p w:rsidR="002D3EA6" w:rsidRDefault="002D3EA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14179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3D6" w:rsidRDefault="000F4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73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C0D0A" w:rsidRDefault="005C0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A6" w:rsidRDefault="002D3EA6" w:rsidP="000F43D6">
      <w:pPr>
        <w:bidi/>
        <w:spacing w:after="0" w:line="240" w:lineRule="auto"/>
      </w:pPr>
      <w:r>
        <w:separator/>
      </w:r>
    </w:p>
  </w:footnote>
  <w:footnote w:type="continuationSeparator" w:id="0">
    <w:p w:rsidR="002D3EA6" w:rsidRDefault="002D3EA6" w:rsidP="000D5800">
      <w:pPr>
        <w:spacing w:after="0" w:line="240" w:lineRule="auto"/>
      </w:pPr>
      <w:r>
        <w:continuationSeparator/>
      </w:r>
    </w:p>
  </w:footnote>
  <w:footnote w:id="1">
    <w:p w:rsidR="00DE0AAF" w:rsidRPr="00DF3DD9" w:rsidRDefault="00DE0AAF" w:rsidP="00DE0AAF">
      <w:pPr>
        <w:pStyle w:val="FootnoteText"/>
        <w:rPr>
          <w:rFonts w:ascii="IRBadr" w:hAnsi="IRBadr" w:cs="IRBadr"/>
          <w:b/>
          <w:bCs/>
          <w:rtl/>
        </w:rPr>
      </w:pPr>
      <w:r w:rsidRPr="00DF3DD9">
        <w:rPr>
          <w:rStyle w:val="FootnoteReference"/>
          <w:rFonts w:ascii="IRBadr" w:hAnsi="IRBadr" w:cs="IRBadr"/>
          <w:b/>
          <w:bCs/>
        </w:rPr>
        <w:footnoteRef/>
      </w:r>
      <w:r w:rsidRPr="00DF3DD9">
        <w:rPr>
          <w:rFonts w:ascii="IRBadr" w:hAnsi="IRBadr" w:cs="IRBadr"/>
          <w:b/>
          <w:bCs/>
        </w:rPr>
        <w:t xml:space="preserve"> 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>ال</w:t>
      </w:r>
      <w:r w:rsidR="005C0D0A" w:rsidRPr="00DF3DD9">
        <w:rPr>
          <w:rFonts w:ascii="IRBadr" w:hAnsi="IRBadr" w:cs="IRBadr"/>
          <w:b/>
          <w:bCs/>
          <w:color w:val="000000" w:themeColor="text1"/>
          <w:rtl/>
        </w:rPr>
        <w:t>ک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>اف</w:t>
      </w:r>
      <w:r w:rsidR="005C0D0A" w:rsidRPr="00DF3DD9">
        <w:rPr>
          <w:rFonts w:ascii="IRBadr" w:hAnsi="IRBadr" w:cs="IRBadr"/>
          <w:b/>
          <w:bCs/>
          <w:color w:val="000000" w:themeColor="text1"/>
          <w:rtl/>
        </w:rPr>
        <w:t>ی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5C0D0A" w:rsidRPr="00DF3DD9">
        <w:rPr>
          <w:rFonts w:ascii="IRBadr" w:hAnsi="IRBadr" w:cs="IRBadr"/>
          <w:b/>
          <w:bCs/>
          <w:color w:val="000000" w:themeColor="text1"/>
          <w:rtl/>
        </w:rPr>
        <w:t>ی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5C0D0A" w:rsidRPr="00DF3DD9">
        <w:rPr>
          <w:rFonts w:ascii="IRBadr" w:hAnsi="IRBadr" w:cs="IRBadr"/>
          <w:b/>
          <w:bCs/>
          <w:color w:val="000000" w:themeColor="text1"/>
          <w:rtl/>
        </w:rPr>
        <w:t>ج 7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>، ص: 219</w:t>
      </w:r>
    </w:p>
  </w:footnote>
  <w:footnote w:id="2">
    <w:p w:rsidR="00DE0AAF" w:rsidRPr="00DF3DD9" w:rsidRDefault="00DE0AAF" w:rsidP="00DE0AAF">
      <w:pPr>
        <w:pStyle w:val="FootnoteText"/>
        <w:rPr>
          <w:rFonts w:ascii="IRBadr" w:hAnsi="IRBadr" w:cs="IRBadr"/>
          <w:b/>
          <w:bCs/>
          <w:rtl/>
        </w:rPr>
      </w:pPr>
      <w:r w:rsidRPr="00DF3DD9">
        <w:rPr>
          <w:rStyle w:val="FootnoteReference"/>
          <w:rFonts w:ascii="IRBadr" w:hAnsi="IRBadr" w:cs="IRBadr"/>
          <w:b/>
          <w:bCs/>
        </w:rPr>
        <w:footnoteRef/>
      </w:r>
      <w:r w:rsidRPr="00DF3DD9">
        <w:rPr>
          <w:rFonts w:ascii="IRBadr" w:hAnsi="IRBadr" w:cs="IRBadr"/>
          <w:b/>
          <w:bCs/>
        </w:rPr>
        <w:t xml:space="preserve"> 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>وسائل الش</w:t>
      </w:r>
      <w:r w:rsidR="005C0D0A" w:rsidRPr="00DF3DD9">
        <w:rPr>
          <w:rFonts w:ascii="IRBadr" w:hAnsi="IRBadr" w:cs="IRBadr"/>
          <w:b/>
          <w:bCs/>
          <w:color w:val="000000" w:themeColor="text1"/>
          <w:rtl/>
        </w:rPr>
        <w:t>ی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 xml:space="preserve">عة؛ </w:t>
      </w:r>
      <w:r w:rsidR="005C0D0A" w:rsidRPr="00DF3DD9">
        <w:rPr>
          <w:rFonts w:ascii="IRBadr" w:hAnsi="IRBadr" w:cs="IRBadr"/>
          <w:b/>
          <w:bCs/>
          <w:color w:val="000000" w:themeColor="text1"/>
          <w:rtl/>
        </w:rPr>
        <w:t>ج 28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>، ص: 250</w:t>
      </w:r>
    </w:p>
  </w:footnote>
  <w:footnote w:id="3">
    <w:p w:rsidR="00DE0AAF" w:rsidRPr="00DF3DD9" w:rsidRDefault="00DE0AAF" w:rsidP="00DE0AAF">
      <w:pPr>
        <w:pStyle w:val="FootnoteText"/>
        <w:rPr>
          <w:rFonts w:ascii="IRBadr" w:hAnsi="IRBadr" w:cs="IRBadr"/>
          <w:b/>
          <w:bCs/>
          <w:rtl/>
        </w:rPr>
      </w:pPr>
      <w:r w:rsidRPr="00DF3DD9">
        <w:rPr>
          <w:rStyle w:val="FootnoteReference"/>
          <w:rFonts w:ascii="IRBadr" w:hAnsi="IRBadr" w:cs="IRBadr"/>
          <w:b/>
          <w:bCs/>
        </w:rPr>
        <w:footnoteRef/>
      </w:r>
      <w:r w:rsidRPr="00DF3DD9">
        <w:rPr>
          <w:rFonts w:ascii="IRBadr" w:hAnsi="IRBadr" w:cs="IRBadr"/>
          <w:b/>
          <w:bCs/>
        </w:rPr>
        <w:t xml:space="preserve"> 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>تهذ</w:t>
      </w:r>
      <w:r w:rsidR="005C0D0A" w:rsidRPr="00DF3DD9">
        <w:rPr>
          <w:rFonts w:ascii="IRBadr" w:hAnsi="IRBadr" w:cs="IRBadr"/>
          <w:b/>
          <w:bCs/>
          <w:color w:val="000000" w:themeColor="text1"/>
          <w:rtl/>
        </w:rPr>
        <w:t>ی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>ب الأح</w:t>
      </w:r>
      <w:r w:rsidR="005C0D0A" w:rsidRPr="00DF3DD9">
        <w:rPr>
          <w:rFonts w:ascii="IRBadr" w:hAnsi="IRBadr" w:cs="IRBadr"/>
          <w:b/>
          <w:bCs/>
          <w:color w:val="000000" w:themeColor="text1"/>
          <w:rtl/>
        </w:rPr>
        <w:t>ک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 xml:space="preserve">ام؛ </w:t>
      </w:r>
      <w:r w:rsidR="005C0D0A" w:rsidRPr="00DF3DD9">
        <w:rPr>
          <w:rFonts w:ascii="IRBadr" w:hAnsi="IRBadr" w:cs="IRBadr"/>
          <w:b/>
          <w:bCs/>
          <w:color w:val="000000" w:themeColor="text1"/>
          <w:rtl/>
        </w:rPr>
        <w:t>ج 10</w:t>
      </w:r>
      <w:r w:rsidRPr="00DF3DD9">
        <w:rPr>
          <w:rFonts w:ascii="IRBadr" w:hAnsi="IRBadr" w:cs="IRBadr"/>
          <w:b/>
          <w:bCs/>
          <w:color w:val="000000" w:themeColor="text1"/>
          <w:rtl/>
        </w:rPr>
        <w:t>، ص: 122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0F43D6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9C72B6" wp14:editId="1DE9868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0B594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22DA2AA1" wp14:editId="26A2309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F43D6">
      <w:rPr>
        <w:rFonts w:ascii="IranNastaliq" w:hAnsi="IranNastaliq" w:cs="IranNastaliq" w:hint="cs"/>
        <w:sz w:val="40"/>
        <w:szCs w:val="40"/>
        <w:rtl/>
        <w:lang w:bidi="fa-IR"/>
      </w:rPr>
      <w:t>194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73001"/>
    <w:rsid w:val="00080DFF"/>
    <w:rsid w:val="00085ED5"/>
    <w:rsid w:val="000A1A51"/>
    <w:rsid w:val="000B725D"/>
    <w:rsid w:val="000D2D0D"/>
    <w:rsid w:val="000D5800"/>
    <w:rsid w:val="000F1897"/>
    <w:rsid w:val="000F43D6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B7739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34BE"/>
    <w:rsid w:val="002C56FD"/>
    <w:rsid w:val="002D3EA6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4591E"/>
    <w:rsid w:val="004651D2"/>
    <w:rsid w:val="00465D26"/>
    <w:rsid w:val="004660A9"/>
    <w:rsid w:val="004679F8"/>
    <w:rsid w:val="00492FBD"/>
    <w:rsid w:val="00494DC0"/>
    <w:rsid w:val="00496073"/>
    <w:rsid w:val="004B337F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27D9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3DD9"/>
    <w:rsid w:val="00E0639C"/>
    <w:rsid w:val="00E067E6"/>
    <w:rsid w:val="00E12531"/>
    <w:rsid w:val="00E143B0"/>
    <w:rsid w:val="00E15928"/>
    <w:rsid w:val="00E55891"/>
    <w:rsid w:val="00E6283A"/>
    <w:rsid w:val="00E732A3"/>
    <w:rsid w:val="00E83A85"/>
    <w:rsid w:val="00E90FC4"/>
    <w:rsid w:val="00EA01EC"/>
    <w:rsid w:val="00EA15B0"/>
    <w:rsid w:val="00EA45EB"/>
    <w:rsid w:val="00EA550C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4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4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AB5C-ED7B-4AB5-B17C-F6B57A95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81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24</cp:revision>
  <dcterms:created xsi:type="dcterms:W3CDTF">2014-12-20T10:23:00Z</dcterms:created>
  <dcterms:modified xsi:type="dcterms:W3CDTF">2015-08-15T06:58:00Z</dcterms:modified>
</cp:coreProperties>
</file>