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21" w:rsidRPr="00707B9D" w:rsidRDefault="00171CA6" w:rsidP="00707B9D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bookmarkStart w:id="0" w:name="_GoBack"/>
      <w:r w:rsidRPr="00707B9D">
        <w:rPr>
          <w:rFonts w:ascii="IRBadr" w:hAnsi="IRBadr" w:cs="IRBadr"/>
          <w:b/>
          <w:bCs/>
          <w:sz w:val="28"/>
          <w:szCs w:val="28"/>
          <w:rtl/>
          <w:lang w:bidi="fa-IR"/>
        </w:rPr>
        <w:t>بسم‌الله</w:t>
      </w:r>
      <w:r w:rsidR="00651421" w:rsidRPr="00707B9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bookmarkEnd w:id="0"/>
      <w:r w:rsidR="00651421" w:rsidRPr="00707B9D">
        <w:rPr>
          <w:rFonts w:ascii="IRBadr" w:hAnsi="IRBadr" w:cs="IRBadr"/>
          <w:b/>
          <w:bCs/>
          <w:sz w:val="28"/>
          <w:szCs w:val="28"/>
          <w:rtl/>
          <w:lang w:bidi="fa-IR"/>
        </w:rPr>
        <w:t>الرحمن الرحیم</w:t>
      </w:r>
    </w:p>
    <w:p w:rsidR="00707B9D" w:rsidRPr="00707B9D" w:rsidRDefault="00707B9D" w:rsidP="00707B9D">
      <w:pPr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707B9D">
        <w:rPr>
          <w:rFonts w:ascii="IRBadr" w:hAnsi="IRBadr" w:cs="IRBadr"/>
          <w:b/>
          <w:bCs/>
          <w:sz w:val="28"/>
          <w:szCs w:val="28"/>
          <w:rtl/>
          <w:lang w:bidi="fa-IR"/>
        </w:rPr>
        <w:t>فهرست مطالب:</w:t>
      </w:r>
    </w:p>
    <w:p w:rsidR="00707B9D" w:rsidRPr="00707B9D" w:rsidRDefault="00707B9D" w:rsidP="00707B9D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707B9D">
        <w:rPr>
          <w:rFonts w:ascii="IRBadr" w:hAnsi="IRBadr" w:cs="IRBadr"/>
          <w:b/>
          <w:bCs/>
          <w:sz w:val="28"/>
          <w:rtl/>
        </w:rPr>
        <w:fldChar w:fldCharType="begin"/>
      </w:r>
      <w:r w:rsidRPr="00707B9D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707B9D">
        <w:rPr>
          <w:rFonts w:ascii="IRBadr" w:hAnsi="IRBadr" w:cs="IRBadr"/>
          <w:b/>
          <w:bCs/>
          <w:sz w:val="28"/>
        </w:rPr>
        <w:instrText>TOC</w:instrText>
      </w:r>
      <w:r w:rsidRPr="00707B9D">
        <w:rPr>
          <w:rFonts w:ascii="IRBadr" w:hAnsi="IRBadr" w:cs="IRBadr"/>
          <w:b/>
          <w:bCs/>
          <w:sz w:val="28"/>
          <w:rtl/>
        </w:rPr>
        <w:instrText xml:space="preserve"> \</w:instrText>
      </w:r>
      <w:r w:rsidRPr="00707B9D">
        <w:rPr>
          <w:rFonts w:ascii="IRBadr" w:hAnsi="IRBadr" w:cs="IRBadr"/>
          <w:b/>
          <w:bCs/>
          <w:sz w:val="28"/>
        </w:rPr>
        <w:instrText>o "</w:instrText>
      </w:r>
      <w:r w:rsidRPr="00707B9D">
        <w:rPr>
          <w:rFonts w:ascii="IRBadr" w:hAnsi="IRBadr" w:cs="IRBadr"/>
          <w:b/>
          <w:bCs/>
          <w:sz w:val="28"/>
          <w:rtl/>
        </w:rPr>
        <w:instrText>1-4</w:instrText>
      </w:r>
      <w:r w:rsidRPr="00707B9D">
        <w:rPr>
          <w:rFonts w:ascii="IRBadr" w:hAnsi="IRBadr" w:cs="IRBadr"/>
          <w:b/>
          <w:bCs/>
          <w:sz w:val="28"/>
        </w:rPr>
        <w:instrText>" \h \z \u</w:instrText>
      </w:r>
      <w:r w:rsidRPr="00707B9D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707B9D">
        <w:rPr>
          <w:rFonts w:ascii="IRBadr" w:hAnsi="IRBadr" w:cs="IRBadr"/>
          <w:b/>
          <w:bCs/>
          <w:sz w:val="28"/>
          <w:rtl/>
        </w:rPr>
        <w:fldChar w:fldCharType="separate"/>
      </w:r>
      <w:hyperlink w:anchor="_Toc428135825" w:history="1">
        <w:r w:rsidRPr="00707B9D">
          <w:rPr>
            <w:rStyle w:val="Hyperlink"/>
            <w:rFonts w:ascii="IRBadr" w:hAnsi="IRBadr" w:cs="IRBadr"/>
            <w:noProof/>
            <w:rtl/>
          </w:rPr>
          <w:t>طرق اثبات حد</w:t>
        </w:r>
        <w:r w:rsidRPr="00707B9D">
          <w:rPr>
            <w:rFonts w:ascii="IRBadr" w:hAnsi="IRBadr" w:cs="IRBadr"/>
            <w:noProof/>
            <w:webHidden/>
          </w:rPr>
          <w:tab/>
        </w:r>
        <w:r w:rsidRPr="00707B9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707B9D">
          <w:rPr>
            <w:rFonts w:ascii="IRBadr" w:hAnsi="IRBadr" w:cs="IRBadr"/>
            <w:noProof/>
            <w:webHidden/>
          </w:rPr>
          <w:instrText xml:space="preserve"> PAGEREF _Toc428135825 \h </w:instrText>
        </w:r>
        <w:r w:rsidRPr="00707B9D">
          <w:rPr>
            <w:rStyle w:val="Hyperlink"/>
            <w:rFonts w:ascii="IRBadr" w:hAnsi="IRBadr" w:cs="IRBadr"/>
            <w:noProof/>
            <w:rtl/>
          </w:rPr>
        </w:r>
        <w:r w:rsidRPr="00707B9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707B9D">
          <w:rPr>
            <w:rFonts w:ascii="IRBadr" w:hAnsi="IRBadr" w:cs="IRBadr"/>
            <w:noProof/>
            <w:webHidden/>
          </w:rPr>
          <w:t>2</w:t>
        </w:r>
        <w:r w:rsidRPr="00707B9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07B9D" w:rsidRPr="00707B9D" w:rsidRDefault="00857370" w:rsidP="00707B9D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35826" w:history="1">
        <w:r w:rsidR="00707B9D" w:rsidRPr="00707B9D">
          <w:rPr>
            <w:rStyle w:val="Hyperlink"/>
            <w:rFonts w:ascii="IRBadr" w:hAnsi="IRBadr" w:cs="IRBadr"/>
            <w:noProof/>
            <w:rtl/>
          </w:rPr>
          <w:t>مرور بحث سابق</w:t>
        </w:r>
        <w:r w:rsidR="00707B9D" w:rsidRPr="00707B9D">
          <w:rPr>
            <w:rFonts w:ascii="IRBadr" w:hAnsi="IRBadr" w:cs="IRBadr"/>
            <w:noProof/>
            <w:webHidden/>
          </w:rPr>
          <w:tab/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07B9D" w:rsidRPr="00707B9D">
          <w:rPr>
            <w:rFonts w:ascii="IRBadr" w:hAnsi="IRBadr" w:cs="IRBadr"/>
            <w:noProof/>
            <w:webHidden/>
          </w:rPr>
          <w:instrText xml:space="preserve"> PAGEREF _Toc428135826 \h </w:instrText>
        </w:r>
        <w:r w:rsidR="00707B9D" w:rsidRPr="00707B9D">
          <w:rPr>
            <w:rStyle w:val="Hyperlink"/>
            <w:rFonts w:ascii="IRBadr" w:hAnsi="IRBadr" w:cs="IRBadr"/>
            <w:noProof/>
            <w:rtl/>
          </w:rPr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07B9D" w:rsidRPr="00707B9D">
          <w:rPr>
            <w:rFonts w:ascii="IRBadr" w:hAnsi="IRBadr" w:cs="IRBadr"/>
            <w:noProof/>
            <w:webHidden/>
          </w:rPr>
          <w:t>2</w:t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07B9D" w:rsidRPr="00707B9D" w:rsidRDefault="00857370" w:rsidP="00707B9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35827" w:history="1">
        <w:r w:rsidR="00707B9D" w:rsidRPr="00707B9D">
          <w:rPr>
            <w:rStyle w:val="Hyperlink"/>
            <w:rFonts w:ascii="IRBadr" w:hAnsi="IRBadr" w:cs="IRBadr"/>
            <w:noProof/>
            <w:rtl/>
          </w:rPr>
          <w:t>بحث رجالی</w:t>
        </w:r>
        <w:r w:rsidR="00707B9D" w:rsidRPr="00707B9D">
          <w:rPr>
            <w:rFonts w:ascii="IRBadr" w:hAnsi="IRBadr" w:cs="IRBadr"/>
            <w:noProof/>
            <w:webHidden/>
          </w:rPr>
          <w:tab/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07B9D" w:rsidRPr="00707B9D">
          <w:rPr>
            <w:rFonts w:ascii="IRBadr" w:hAnsi="IRBadr" w:cs="IRBadr"/>
            <w:noProof/>
            <w:webHidden/>
          </w:rPr>
          <w:instrText xml:space="preserve"> PAGEREF _Toc428135827 \h </w:instrText>
        </w:r>
        <w:r w:rsidR="00707B9D" w:rsidRPr="00707B9D">
          <w:rPr>
            <w:rStyle w:val="Hyperlink"/>
            <w:rFonts w:ascii="IRBadr" w:hAnsi="IRBadr" w:cs="IRBadr"/>
            <w:noProof/>
            <w:rtl/>
          </w:rPr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07B9D" w:rsidRPr="00707B9D">
          <w:rPr>
            <w:rFonts w:ascii="IRBadr" w:hAnsi="IRBadr" w:cs="IRBadr"/>
            <w:noProof/>
            <w:webHidden/>
          </w:rPr>
          <w:t>2</w:t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07B9D" w:rsidRPr="00707B9D" w:rsidRDefault="00857370" w:rsidP="00707B9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35828" w:history="1">
        <w:r w:rsidR="00707B9D" w:rsidRPr="00707B9D">
          <w:rPr>
            <w:rStyle w:val="Hyperlink"/>
            <w:rFonts w:ascii="IRBadr" w:hAnsi="IRBadr" w:cs="IRBadr"/>
            <w:noProof/>
            <w:rtl/>
          </w:rPr>
          <w:t>دو نظریه در قبال علی بن سندی</w:t>
        </w:r>
        <w:r w:rsidR="00707B9D" w:rsidRPr="00707B9D">
          <w:rPr>
            <w:rFonts w:ascii="IRBadr" w:hAnsi="IRBadr" w:cs="IRBadr"/>
            <w:noProof/>
            <w:webHidden/>
          </w:rPr>
          <w:tab/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07B9D" w:rsidRPr="00707B9D">
          <w:rPr>
            <w:rFonts w:ascii="IRBadr" w:hAnsi="IRBadr" w:cs="IRBadr"/>
            <w:noProof/>
            <w:webHidden/>
          </w:rPr>
          <w:instrText xml:space="preserve"> PAGEREF _Toc428135828 \h </w:instrText>
        </w:r>
        <w:r w:rsidR="00707B9D" w:rsidRPr="00707B9D">
          <w:rPr>
            <w:rStyle w:val="Hyperlink"/>
            <w:rFonts w:ascii="IRBadr" w:hAnsi="IRBadr" w:cs="IRBadr"/>
            <w:noProof/>
            <w:rtl/>
          </w:rPr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07B9D" w:rsidRPr="00707B9D">
          <w:rPr>
            <w:rFonts w:ascii="IRBadr" w:hAnsi="IRBadr" w:cs="IRBadr"/>
            <w:noProof/>
            <w:webHidden/>
          </w:rPr>
          <w:t>2</w:t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07B9D" w:rsidRPr="00707B9D" w:rsidRDefault="00857370" w:rsidP="00707B9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35829" w:history="1">
        <w:r w:rsidR="00707B9D" w:rsidRPr="00707B9D">
          <w:rPr>
            <w:rStyle w:val="Hyperlink"/>
            <w:rFonts w:ascii="IRBadr" w:hAnsi="IRBadr" w:cs="IRBadr"/>
            <w:noProof/>
            <w:rtl/>
          </w:rPr>
          <w:t>نظریه اول</w:t>
        </w:r>
        <w:r w:rsidR="00707B9D" w:rsidRPr="00707B9D">
          <w:rPr>
            <w:rFonts w:ascii="IRBadr" w:hAnsi="IRBadr" w:cs="IRBadr"/>
            <w:noProof/>
            <w:webHidden/>
          </w:rPr>
          <w:tab/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07B9D" w:rsidRPr="00707B9D">
          <w:rPr>
            <w:rFonts w:ascii="IRBadr" w:hAnsi="IRBadr" w:cs="IRBadr"/>
            <w:noProof/>
            <w:webHidden/>
          </w:rPr>
          <w:instrText xml:space="preserve"> PAGEREF _Toc428135829 \h </w:instrText>
        </w:r>
        <w:r w:rsidR="00707B9D" w:rsidRPr="00707B9D">
          <w:rPr>
            <w:rStyle w:val="Hyperlink"/>
            <w:rFonts w:ascii="IRBadr" w:hAnsi="IRBadr" w:cs="IRBadr"/>
            <w:noProof/>
            <w:rtl/>
          </w:rPr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07B9D" w:rsidRPr="00707B9D">
          <w:rPr>
            <w:rFonts w:ascii="IRBadr" w:hAnsi="IRBadr" w:cs="IRBadr"/>
            <w:noProof/>
            <w:webHidden/>
          </w:rPr>
          <w:t>2</w:t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07B9D" w:rsidRPr="00707B9D" w:rsidRDefault="00857370" w:rsidP="00707B9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35830" w:history="1">
        <w:r w:rsidR="00707B9D" w:rsidRPr="00707B9D">
          <w:rPr>
            <w:rStyle w:val="Hyperlink"/>
            <w:rFonts w:ascii="IRBadr" w:hAnsi="IRBadr" w:cs="IRBadr"/>
            <w:noProof/>
            <w:rtl/>
          </w:rPr>
          <w:t>نظریه دوم</w:t>
        </w:r>
        <w:r w:rsidR="00707B9D" w:rsidRPr="00707B9D">
          <w:rPr>
            <w:rFonts w:ascii="IRBadr" w:hAnsi="IRBadr" w:cs="IRBadr"/>
            <w:noProof/>
            <w:webHidden/>
          </w:rPr>
          <w:tab/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07B9D" w:rsidRPr="00707B9D">
          <w:rPr>
            <w:rFonts w:ascii="IRBadr" w:hAnsi="IRBadr" w:cs="IRBadr"/>
            <w:noProof/>
            <w:webHidden/>
          </w:rPr>
          <w:instrText xml:space="preserve"> PAGEREF _Toc428135830 \h </w:instrText>
        </w:r>
        <w:r w:rsidR="00707B9D" w:rsidRPr="00707B9D">
          <w:rPr>
            <w:rStyle w:val="Hyperlink"/>
            <w:rFonts w:ascii="IRBadr" w:hAnsi="IRBadr" w:cs="IRBadr"/>
            <w:noProof/>
            <w:rtl/>
          </w:rPr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07B9D" w:rsidRPr="00707B9D">
          <w:rPr>
            <w:rFonts w:ascii="IRBadr" w:hAnsi="IRBadr" w:cs="IRBadr"/>
            <w:noProof/>
            <w:webHidden/>
          </w:rPr>
          <w:t>3</w:t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07B9D" w:rsidRPr="00707B9D" w:rsidRDefault="00857370" w:rsidP="00707B9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35831" w:history="1">
        <w:r w:rsidR="00707B9D" w:rsidRPr="00707B9D">
          <w:rPr>
            <w:rStyle w:val="Hyperlink"/>
            <w:rFonts w:ascii="IRBadr" w:hAnsi="IRBadr" w:cs="IRBadr"/>
            <w:noProof/>
            <w:rtl/>
          </w:rPr>
          <w:t>اصل در اسامی رجال</w:t>
        </w:r>
        <w:r w:rsidR="00707B9D" w:rsidRPr="00707B9D">
          <w:rPr>
            <w:rFonts w:ascii="IRBadr" w:hAnsi="IRBadr" w:cs="IRBadr"/>
            <w:noProof/>
            <w:webHidden/>
          </w:rPr>
          <w:tab/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07B9D" w:rsidRPr="00707B9D">
          <w:rPr>
            <w:rFonts w:ascii="IRBadr" w:hAnsi="IRBadr" w:cs="IRBadr"/>
            <w:noProof/>
            <w:webHidden/>
          </w:rPr>
          <w:instrText xml:space="preserve"> PAGEREF _Toc428135831 \h </w:instrText>
        </w:r>
        <w:r w:rsidR="00707B9D" w:rsidRPr="00707B9D">
          <w:rPr>
            <w:rStyle w:val="Hyperlink"/>
            <w:rFonts w:ascii="IRBadr" w:hAnsi="IRBadr" w:cs="IRBadr"/>
            <w:noProof/>
            <w:rtl/>
          </w:rPr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07B9D" w:rsidRPr="00707B9D">
          <w:rPr>
            <w:rFonts w:ascii="IRBadr" w:hAnsi="IRBadr" w:cs="IRBadr"/>
            <w:noProof/>
            <w:webHidden/>
          </w:rPr>
          <w:t>3</w:t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07B9D" w:rsidRPr="00707B9D" w:rsidRDefault="00857370" w:rsidP="00707B9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35832" w:history="1">
        <w:r w:rsidR="00707B9D" w:rsidRPr="00707B9D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707B9D" w:rsidRPr="00707B9D">
          <w:rPr>
            <w:rFonts w:ascii="IRBadr" w:hAnsi="IRBadr" w:cs="IRBadr"/>
            <w:noProof/>
            <w:webHidden/>
          </w:rPr>
          <w:tab/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07B9D" w:rsidRPr="00707B9D">
          <w:rPr>
            <w:rFonts w:ascii="IRBadr" w:hAnsi="IRBadr" w:cs="IRBadr"/>
            <w:noProof/>
            <w:webHidden/>
          </w:rPr>
          <w:instrText xml:space="preserve"> PAGEREF _Toc428135832 \h </w:instrText>
        </w:r>
        <w:r w:rsidR="00707B9D" w:rsidRPr="00707B9D">
          <w:rPr>
            <w:rStyle w:val="Hyperlink"/>
            <w:rFonts w:ascii="IRBadr" w:hAnsi="IRBadr" w:cs="IRBadr"/>
            <w:noProof/>
            <w:rtl/>
          </w:rPr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07B9D" w:rsidRPr="00707B9D">
          <w:rPr>
            <w:rFonts w:ascii="IRBadr" w:hAnsi="IRBadr" w:cs="IRBadr"/>
            <w:noProof/>
            <w:webHidden/>
          </w:rPr>
          <w:t>3</w:t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07B9D" w:rsidRPr="00707B9D" w:rsidRDefault="00857370" w:rsidP="00707B9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35833" w:history="1">
        <w:r w:rsidR="00707B9D" w:rsidRPr="00707B9D">
          <w:rPr>
            <w:rStyle w:val="Hyperlink"/>
            <w:rFonts w:ascii="IRBadr" w:hAnsi="IRBadr" w:cs="IRBadr"/>
            <w:noProof/>
            <w:rtl/>
          </w:rPr>
          <w:t>طریق دوم تصحیح سند</w:t>
        </w:r>
        <w:r w:rsidR="00707B9D" w:rsidRPr="00707B9D">
          <w:rPr>
            <w:rFonts w:ascii="IRBadr" w:hAnsi="IRBadr" w:cs="IRBadr"/>
            <w:noProof/>
            <w:webHidden/>
          </w:rPr>
          <w:tab/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07B9D" w:rsidRPr="00707B9D">
          <w:rPr>
            <w:rFonts w:ascii="IRBadr" w:hAnsi="IRBadr" w:cs="IRBadr"/>
            <w:noProof/>
            <w:webHidden/>
          </w:rPr>
          <w:instrText xml:space="preserve"> PAGEREF _Toc428135833 \h </w:instrText>
        </w:r>
        <w:r w:rsidR="00707B9D" w:rsidRPr="00707B9D">
          <w:rPr>
            <w:rStyle w:val="Hyperlink"/>
            <w:rFonts w:ascii="IRBadr" w:hAnsi="IRBadr" w:cs="IRBadr"/>
            <w:noProof/>
            <w:rtl/>
          </w:rPr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07B9D" w:rsidRPr="00707B9D">
          <w:rPr>
            <w:rFonts w:ascii="IRBadr" w:hAnsi="IRBadr" w:cs="IRBadr"/>
            <w:noProof/>
            <w:webHidden/>
          </w:rPr>
          <w:t>3</w:t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07B9D" w:rsidRPr="00707B9D" w:rsidRDefault="00857370" w:rsidP="00707B9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35834" w:history="1">
        <w:r w:rsidR="00707B9D" w:rsidRPr="00707B9D">
          <w:rPr>
            <w:rStyle w:val="Hyperlink"/>
            <w:rFonts w:ascii="IRBadr" w:hAnsi="IRBadr" w:cs="IRBadr"/>
            <w:noProof/>
            <w:rtl/>
          </w:rPr>
          <w:t>قاعده تبدل سند</w:t>
        </w:r>
        <w:r w:rsidR="00707B9D" w:rsidRPr="00707B9D">
          <w:rPr>
            <w:rFonts w:ascii="IRBadr" w:hAnsi="IRBadr" w:cs="IRBadr"/>
            <w:noProof/>
            <w:webHidden/>
          </w:rPr>
          <w:tab/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07B9D" w:rsidRPr="00707B9D">
          <w:rPr>
            <w:rFonts w:ascii="IRBadr" w:hAnsi="IRBadr" w:cs="IRBadr"/>
            <w:noProof/>
            <w:webHidden/>
          </w:rPr>
          <w:instrText xml:space="preserve"> PAGEREF _Toc428135834 \h </w:instrText>
        </w:r>
        <w:r w:rsidR="00707B9D" w:rsidRPr="00707B9D">
          <w:rPr>
            <w:rStyle w:val="Hyperlink"/>
            <w:rFonts w:ascii="IRBadr" w:hAnsi="IRBadr" w:cs="IRBadr"/>
            <w:noProof/>
            <w:rtl/>
          </w:rPr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07B9D" w:rsidRPr="00707B9D">
          <w:rPr>
            <w:rFonts w:ascii="IRBadr" w:hAnsi="IRBadr" w:cs="IRBadr"/>
            <w:noProof/>
            <w:webHidden/>
          </w:rPr>
          <w:t>4</w:t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07B9D" w:rsidRPr="00707B9D" w:rsidRDefault="00857370" w:rsidP="00707B9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135835" w:history="1">
        <w:r w:rsidR="00707B9D" w:rsidRPr="00707B9D">
          <w:rPr>
            <w:rStyle w:val="Hyperlink"/>
            <w:rFonts w:ascii="IRBadr" w:hAnsi="IRBadr" w:cs="IRBadr"/>
            <w:noProof/>
            <w:rtl/>
          </w:rPr>
          <w:t>جمع‌بندی</w:t>
        </w:r>
        <w:r w:rsidR="00707B9D" w:rsidRPr="00707B9D">
          <w:rPr>
            <w:rFonts w:ascii="IRBadr" w:hAnsi="IRBadr" w:cs="IRBadr"/>
            <w:noProof/>
            <w:webHidden/>
          </w:rPr>
          <w:tab/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07B9D" w:rsidRPr="00707B9D">
          <w:rPr>
            <w:rFonts w:ascii="IRBadr" w:hAnsi="IRBadr" w:cs="IRBadr"/>
            <w:noProof/>
            <w:webHidden/>
          </w:rPr>
          <w:instrText xml:space="preserve"> PAGEREF _Toc428135835 \h </w:instrText>
        </w:r>
        <w:r w:rsidR="00707B9D" w:rsidRPr="00707B9D">
          <w:rPr>
            <w:rStyle w:val="Hyperlink"/>
            <w:rFonts w:ascii="IRBadr" w:hAnsi="IRBadr" w:cs="IRBadr"/>
            <w:noProof/>
            <w:rtl/>
          </w:rPr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07B9D" w:rsidRPr="00707B9D">
          <w:rPr>
            <w:rFonts w:ascii="IRBadr" w:hAnsi="IRBadr" w:cs="IRBadr"/>
            <w:noProof/>
            <w:webHidden/>
          </w:rPr>
          <w:t>5</w:t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07B9D" w:rsidRPr="00707B9D" w:rsidRDefault="00857370" w:rsidP="00707B9D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135836" w:history="1">
        <w:r w:rsidR="00707B9D" w:rsidRPr="00707B9D">
          <w:rPr>
            <w:rStyle w:val="Hyperlink"/>
            <w:rFonts w:ascii="IRBadr" w:hAnsi="IRBadr" w:cs="IRBadr"/>
            <w:noProof/>
            <w:rtl/>
          </w:rPr>
          <w:t>روایات طایفه مقابل</w:t>
        </w:r>
        <w:r w:rsidR="00707B9D" w:rsidRPr="00707B9D">
          <w:rPr>
            <w:rFonts w:ascii="IRBadr" w:hAnsi="IRBadr" w:cs="IRBadr"/>
            <w:noProof/>
            <w:webHidden/>
          </w:rPr>
          <w:tab/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07B9D" w:rsidRPr="00707B9D">
          <w:rPr>
            <w:rFonts w:ascii="IRBadr" w:hAnsi="IRBadr" w:cs="IRBadr"/>
            <w:noProof/>
            <w:webHidden/>
          </w:rPr>
          <w:instrText xml:space="preserve"> PAGEREF _Toc428135836 \h </w:instrText>
        </w:r>
        <w:r w:rsidR="00707B9D" w:rsidRPr="00707B9D">
          <w:rPr>
            <w:rStyle w:val="Hyperlink"/>
            <w:rFonts w:ascii="IRBadr" w:hAnsi="IRBadr" w:cs="IRBadr"/>
            <w:noProof/>
            <w:rtl/>
          </w:rPr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07B9D" w:rsidRPr="00707B9D">
          <w:rPr>
            <w:rFonts w:ascii="IRBadr" w:hAnsi="IRBadr" w:cs="IRBadr"/>
            <w:noProof/>
            <w:webHidden/>
          </w:rPr>
          <w:t>5</w:t>
        </w:r>
        <w:r w:rsidR="00707B9D" w:rsidRPr="00707B9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A3E48" w:rsidRDefault="00707B9D" w:rsidP="00707B9D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707B9D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end"/>
      </w:r>
    </w:p>
    <w:p w:rsidR="008A3E48" w:rsidRDefault="008A3E48">
      <w:pPr>
        <w:spacing w:after="0" w:line="240" w:lineRule="auto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br w:type="page"/>
      </w:r>
    </w:p>
    <w:p w:rsidR="00651421" w:rsidRPr="00707B9D" w:rsidRDefault="00651421" w:rsidP="00707B9D">
      <w:pPr>
        <w:pStyle w:val="Heading1"/>
        <w:rPr>
          <w:rFonts w:ascii="IRBadr" w:hAnsi="IRBadr" w:cs="IRBadr"/>
          <w:rtl/>
        </w:rPr>
      </w:pPr>
      <w:bookmarkStart w:id="1" w:name="_Toc428135825"/>
      <w:r w:rsidRPr="00707B9D">
        <w:rPr>
          <w:rFonts w:ascii="IRBadr" w:hAnsi="IRBadr" w:cs="IRBadr"/>
          <w:rtl/>
        </w:rPr>
        <w:lastRenderedPageBreak/>
        <w:t>طرق اثبات حد</w:t>
      </w:r>
      <w:bookmarkEnd w:id="1"/>
    </w:p>
    <w:p w:rsidR="00651421" w:rsidRPr="00707B9D" w:rsidRDefault="00651421" w:rsidP="00707B9D">
      <w:pPr>
        <w:pStyle w:val="Heading1"/>
        <w:rPr>
          <w:rFonts w:ascii="IRBadr" w:hAnsi="IRBadr" w:cs="IRBadr"/>
          <w:rtl/>
        </w:rPr>
      </w:pPr>
      <w:bookmarkStart w:id="2" w:name="_Toc428135826"/>
      <w:r w:rsidRPr="00707B9D">
        <w:rPr>
          <w:rFonts w:ascii="IRBadr" w:hAnsi="IRBadr" w:cs="IRBadr"/>
          <w:rtl/>
        </w:rPr>
        <w:t>مرور بحث سابق</w:t>
      </w:r>
      <w:bookmarkEnd w:id="2"/>
    </w:p>
    <w:p w:rsidR="00651421" w:rsidRPr="00707B9D" w:rsidRDefault="00651421" w:rsidP="00707B9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7B9D">
        <w:rPr>
          <w:rFonts w:ascii="IRBadr" w:hAnsi="IRBadr" w:cs="IRBadr"/>
          <w:sz w:val="28"/>
          <w:szCs w:val="28"/>
          <w:rtl/>
          <w:lang w:bidi="fa-IR"/>
        </w:rPr>
        <w:t>بحث در جلسه گذشته در خصوص طرق اثبات حدود بود،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 xml:space="preserve"> بیان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شد که یکی از طرق مثبته در این مقام اقرار فرد است، گفته شد در بحث حدود همانند بحث زنا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به‌یک‌بار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از اقرار </w:t>
      </w:r>
      <w:r w:rsidR="00761F48">
        <w:rPr>
          <w:rFonts w:ascii="IRBadr" w:hAnsi="IRBadr" w:cs="IRBadr"/>
          <w:sz w:val="28"/>
          <w:szCs w:val="28"/>
          <w:rtl/>
          <w:lang w:bidi="fa-IR"/>
        </w:rPr>
        <w:t>اکتفا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>،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امر خلاف قاعده بود لذا نیازمند دلیل خاص بود،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 xml:space="preserve"> ادله‌ای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که در این زمینه وجود داشت،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 xml:space="preserve"> مطرح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گشت.</w:t>
      </w:r>
    </w:p>
    <w:p w:rsidR="00651421" w:rsidRPr="00707B9D" w:rsidRDefault="00651421" w:rsidP="00707B9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7B9D">
        <w:rPr>
          <w:rFonts w:ascii="IRBadr" w:hAnsi="IRBadr" w:cs="IRBadr"/>
          <w:sz w:val="28"/>
          <w:szCs w:val="28"/>
          <w:rtl/>
          <w:lang w:bidi="fa-IR"/>
        </w:rPr>
        <w:t>این دو زمینه از یکدیگر تفکیک شد که اقرار جهت اثبات حد امری ورای اثبات ضمان است،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به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دنبال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یک اقرار به سرقت،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 xml:space="preserve"> ضمان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حاصل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اما در قبال اثبات حد نیازمند به دو اقرار هستیم. برخی از روایات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از حیث سندی قوی و برخی دارای ضعف بودند.</w:t>
      </w:r>
    </w:p>
    <w:p w:rsidR="00651421" w:rsidRPr="00707B9D" w:rsidRDefault="00651421" w:rsidP="00707B9D">
      <w:pPr>
        <w:pStyle w:val="Heading2"/>
        <w:rPr>
          <w:rFonts w:ascii="IRBadr" w:hAnsi="IRBadr" w:cs="IRBadr"/>
          <w:rtl/>
        </w:rPr>
      </w:pPr>
      <w:bookmarkStart w:id="3" w:name="_Toc428135827"/>
      <w:r w:rsidRPr="00707B9D">
        <w:rPr>
          <w:rFonts w:ascii="IRBadr" w:hAnsi="IRBadr" w:cs="IRBadr"/>
          <w:rtl/>
        </w:rPr>
        <w:t>بحث رجالی</w:t>
      </w:r>
      <w:bookmarkEnd w:id="3"/>
    </w:p>
    <w:p w:rsidR="00651421" w:rsidRPr="00707B9D" w:rsidRDefault="00651421" w:rsidP="00707B9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7B9D">
        <w:rPr>
          <w:rFonts w:ascii="IRBadr" w:hAnsi="IRBadr" w:cs="IRBadr"/>
          <w:sz w:val="28"/>
          <w:szCs w:val="28"/>
          <w:rtl/>
          <w:lang w:bidi="fa-IR"/>
        </w:rPr>
        <w:t>یکی از اسنادی که با ضعف مواجه بود،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 xml:space="preserve"> همان‌طور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که بیان شد روایتی است که در آن علی بن سندی وجود دارد که لازم است در قبال مطالبی مطرح شود؛</w:t>
      </w:r>
    </w:p>
    <w:p w:rsidR="00651421" w:rsidRPr="00707B9D" w:rsidRDefault="00171CA6" w:rsidP="00707B9D">
      <w:pPr>
        <w:pStyle w:val="Heading2"/>
        <w:rPr>
          <w:rFonts w:ascii="IRBadr" w:hAnsi="IRBadr" w:cs="IRBadr"/>
          <w:rtl/>
        </w:rPr>
      </w:pPr>
      <w:bookmarkStart w:id="4" w:name="_Toc428135828"/>
      <w:r w:rsidRPr="00707B9D">
        <w:rPr>
          <w:rFonts w:ascii="IRBadr" w:hAnsi="IRBadr" w:cs="IRBadr"/>
          <w:rtl/>
        </w:rPr>
        <w:t>دو نظریه</w:t>
      </w:r>
      <w:r w:rsidR="00651421" w:rsidRPr="00707B9D">
        <w:rPr>
          <w:rFonts w:ascii="IRBadr" w:hAnsi="IRBadr" w:cs="IRBadr"/>
          <w:rtl/>
        </w:rPr>
        <w:t xml:space="preserve"> در قبال علی بن سندی</w:t>
      </w:r>
      <w:bookmarkEnd w:id="4"/>
    </w:p>
    <w:p w:rsidR="00651421" w:rsidRPr="00707B9D" w:rsidRDefault="00651421" w:rsidP="00707B9D">
      <w:pPr>
        <w:pStyle w:val="Heading2"/>
        <w:rPr>
          <w:rFonts w:ascii="IRBadr" w:hAnsi="IRBadr" w:cs="IRBadr"/>
          <w:rtl/>
        </w:rPr>
      </w:pPr>
      <w:bookmarkStart w:id="5" w:name="_Toc428135829"/>
      <w:r w:rsidRPr="00707B9D">
        <w:rPr>
          <w:rFonts w:ascii="IRBadr" w:hAnsi="IRBadr" w:cs="IRBadr"/>
          <w:rtl/>
        </w:rPr>
        <w:t>نظریه اول</w:t>
      </w:r>
      <w:bookmarkEnd w:id="5"/>
    </w:p>
    <w:p w:rsidR="00651421" w:rsidRPr="00707B9D" w:rsidRDefault="00651421" w:rsidP="00707B9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این بحث در تنقیه المقال مرحوم مامقانی و معجم رجال آقای خویی آمده است که علی بن سندی به این عنوان و نام مجهول است. علی بن سندی به این تعبیر نه در رجال شیخ و مرحوم نجاشی بدان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اشاره‌کرده‌اند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>، لذا اگر تا این حد باشد،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 xml:space="preserve"> سند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از اعتبار ساقط خواهد شد.</w:t>
      </w:r>
    </w:p>
    <w:p w:rsidR="00651421" w:rsidRPr="00707B9D" w:rsidRDefault="00651421" w:rsidP="00707B9D">
      <w:pPr>
        <w:pStyle w:val="Heading2"/>
        <w:rPr>
          <w:rFonts w:ascii="IRBadr" w:hAnsi="IRBadr" w:cs="IRBadr"/>
          <w:rtl/>
        </w:rPr>
      </w:pPr>
      <w:bookmarkStart w:id="6" w:name="_Toc428135830"/>
      <w:r w:rsidRPr="00707B9D">
        <w:rPr>
          <w:rFonts w:ascii="IRBadr" w:hAnsi="IRBadr" w:cs="IRBadr"/>
          <w:rtl/>
        </w:rPr>
        <w:t>نظریه دوم</w:t>
      </w:r>
      <w:bookmarkEnd w:id="6"/>
    </w:p>
    <w:p w:rsidR="00651421" w:rsidRPr="00707B9D" w:rsidRDefault="00651421" w:rsidP="00707B9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اما در مقابل این نظریه که علی بن سندی مجهول است و طبعاً غیر موثق است، نظر دومی هم وجود دارد که علی بن سندی همان علی بن اسماعیل است و علی بن اسماعیل بن شعیب موثق است. لذا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وقتی‌که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علی بن سندی مطلق باشد به علی بن اسماعیل بن شعیب منصرف است که موثق است.</w:t>
      </w:r>
    </w:p>
    <w:p w:rsidR="00651421" w:rsidRPr="00707B9D" w:rsidRDefault="00651421" w:rsidP="00707B9D">
      <w:pPr>
        <w:pStyle w:val="Heading2"/>
        <w:rPr>
          <w:rFonts w:ascii="IRBadr" w:hAnsi="IRBadr" w:cs="IRBadr"/>
          <w:rtl/>
        </w:rPr>
      </w:pPr>
      <w:bookmarkStart w:id="7" w:name="_Toc428135831"/>
      <w:r w:rsidRPr="00707B9D">
        <w:rPr>
          <w:rFonts w:ascii="IRBadr" w:hAnsi="IRBadr" w:cs="IRBadr"/>
          <w:rtl/>
        </w:rPr>
        <w:lastRenderedPageBreak/>
        <w:t>اصل در اسامی رجال</w:t>
      </w:r>
      <w:bookmarkEnd w:id="7"/>
    </w:p>
    <w:p w:rsidR="00651421" w:rsidRPr="00707B9D" w:rsidRDefault="00651421" w:rsidP="0037730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7B9D">
        <w:rPr>
          <w:rFonts w:ascii="IRBadr" w:hAnsi="IRBadr" w:cs="IRBadr"/>
          <w:sz w:val="28"/>
          <w:szCs w:val="28"/>
          <w:rtl/>
          <w:lang w:bidi="fa-IR"/>
        </w:rPr>
        <w:t>اصل این است که اسامی متعدد برای مسمیات متعدده است و خروج از این اصل دلیل می‌خواهد.</w:t>
      </w:r>
      <w:r w:rsidR="0037730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در اینجا علی بن سندی با علی بن اسماعیل در یک طبقه هستند.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راوی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روایات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غالباً یکی هستند.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 xml:space="preserve"> همچنان که</w:t>
      </w:r>
      <w:r w:rsidR="00761F48">
        <w:rPr>
          <w:rFonts w:ascii="IRBadr" w:hAnsi="IRBadr" w:cs="IRBadr"/>
          <w:sz w:val="28"/>
          <w:szCs w:val="28"/>
          <w:rtl/>
          <w:lang w:bidi="fa-IR"/>
        </w:rPr>
        <w:t xml:space="preserve"> مروی</w:t>
      </w:r>
      <w:r w:rsidR="00761F48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="00761F48">
        <w:rPr>
          <w:rFonts w:ascii="IRBadr" w:hAnsi="IRBadr" w:cs="IRBadr"/>
          <w:sz w:val="28"/>
          <w:szCs w:val="28"/>
          <w:rtl/>
          <w:lang w:bidi="fa-IR"/>
        </w:rPr>
        <w:t>عنه</w:t>
      </w:r>
      <w:r w:rsidR="00761F48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>ها نیز یکی است، بنابراین می‌شود بگوییم این همان است.</w:t>
      </w:r>
    </w:p>
    <w:p w:rsidR="00651421" w:rsidRPr="00707B9D" w:rsidRDefault="00651421" w:rsidP="00707B9D">
      <w:pPr>
        <w:pStyle w:val="Heading2"/>
        <w:rPr>
          <w:rFonts w:ascii="IRBadr" w:hAnsi="IRBadr" w:cs="IRBadr"/>
          <w:rtl/>
        </w:rPr>
      </w:pPr>
      <w:bookmarkStart w:id="8" w:name="_Toc428135832"/>
      <w:r w:rsidRPr="00707B9D">
        <w:rPr>
          <w:rFonts w:ascii="IRBadr" w:hAnsi="IRBadr" w:cs="IRBadr"/>
          <w:rtl/>
        </w:rPr>
        <w:t>اتخاذ مبنا</w:t>
      </w:r>
      <w:bookmarkEnd w:id="8"/>
    </w:p>
    <w:p w:rsidR="00651421" w:rsidRPr="00707B9D" w:rsidRDefault="00651421" w:rsidP="00707B9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اما این احتمال ضعیف است. برای اینکه به این حد از قرینه نمی‌توانیم اکتفا </w:t>
      </w:r>
      <w:r w:rsidR="00761F48">
        <w:rPr>
          <w:rFonts w:ascii="IRBadr" w:hAnsi="IRBadr" w:cs="IRBadr"/>
          <w:sz w:val="28"/>
          <w:szCs w:val="28"/>
          <w:rtl/>
          <w:lang w:bidi="fa-IR"/>
        </w:rPr>
        <w:t>کنیم. صرف اینکه روات و مروی</w:t>
      </w:r>
      <w:r w:rsidR="00761F48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="00761F48">
        <w:rPr>
          <w:rFonts w:ascii="IRBadr" w:hAnsi="IRBadr" w:cs="IRBadr"/>
          <w:sz w:val="28"/>
          <w:szCs w:val="28"/>
          <w:rtl/>
          <w:lang w:bidi="fa-IR"/>
        </w:rPr>
        <w:t>عنه</w:t>
      </w:r>
      <w:r w:rsidR="00761F48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>ها یکی است و اسم اولشان دارای تشابه است و در یک طبقه هستند،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این دو نفر یکی هستند دلیل بر این ادعا نخواهد شد و اطمینانی را به دنبال نخواهد آورد.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در اینجا به همان اصل تعدد مسمیات در قبال تعدد اسماء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برمی‌گردیم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>.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اینکه گفته شود اگر او نباشد پس چرا شیخ نام او را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درجایی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ذکر نکرده است،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 xml:space="preserve"> قابل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پاسخ‌دهی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است به اینکه شیخ اسامی خیلی از افراد دیگر را ذکر نکرده است.</w:t>
      </w:r>
    </w:p>
    <w:p w:rsidR="00651421" w:rsidRPr="00707B9D" w:rsidRDefault="00651421" w:rsidP="00707B9D">
      <w:pPr>
        <w:pStyle w:val="Heading2"/>
        <w:rPr>
          <w:rFonts w:ascii="IRBadr" w:hAnsi="IRBadr" w:cs="IRBadr"/>
          <w:rtl/>
        </w:rPr>
      </w:pPr>
      <w:bookmarkStart w:id="9" w:name="_Toc428135833"/>
      <w:r w:rsidRPr="00707B9D">
        <w:rPr>
          <w:rFonts w:ascii="IRBadr" w:hAnsi="IRBadr" w:cs="IRBadr"/>
          <w:rtl/>
        </w:rPr>
        <w:t>طریق دوم تصحیح سند</w:t>
      </w:r>
      <w:bookmarkEnd w:id="9"/>
    </w:p>
    <w:p w:rsidR="00651421" w:rsidRPr="00707B9D" w:rsidRDefault="00651421" w:rsidP="00707B9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اما طریق دومی که برای تصحیح این سند می‌شود ذکر کرد طریق تبدل سندی است که مکرراً بدان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اشاره‌شده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است. برخی از توثیقات عام و برخی توثیقات خاص هستند و سندهای مشترکی که وجود دارد گاهی در برخی از موارد سند این حالت دیده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و گاهی در حد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قابل‌توجهی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از سند این روند وجود دارد که در پایان در مشیخه به موارد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حذف‌شده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و سیری که در آنان وجود داشته است پرداخته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. این روش در سه کتاب از کتب اربعه غیر از کافی دیده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و از این روش برای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آسان‌سازی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بیشتر بهره برده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51421" w:rsidRPr="00707B9D" w:rsidRDefault="00651421" w:rsidP="00707B9D">
      <w:pPr>
        <w:pStyle w:val="Heading2"/>
        <w:rPr>
          <w:rFonts w:ascii="IRBadr" w:hAnsi="IRBadr" w:cs="IRBadr"/>
          <w:rtl/>
        </w:rPr>
      </w:pPr>
      <w:bookmarkStart w:id="10" w:name="_Toc428135834"/>
      <w:r w:rsidRPr="00707B9D">
        <w:rPr>
          <w:rFonts w:ascii="IRBadr" w:hAnsi="IRBadr" w:cs="IRBadr"/>
          <w:rtl/>
        </w:rPr>
        <w:t>قاعده تبدل سند</w:t>
      </w:r>
      <w:bookmarkEnd w:id="10"/>
    </w:p>
    <w:p w:rsidR="00651421" w:rsidRPr="00707B9D" w:rsidRDefault="00651421" w:rsidP="00707B9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برخی از </w:t>
      </w:r>
      <w:r w:rsidR="00761F48">
        <w:rPr>
          <w:rFonts w:ascii="IRBadr" w:hAnsi="IRBadr" w:cs="IRBadr"/>
          <w:sz w:val="28"/>
          <w:szCs w:val="28"/>
          <w:rtl/>
          <w:lang w:bidi="fa-IR"/>
        </w:rPr>
        <w:t>قدما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و متأخرین و از میان اصولیین و اخباریین افرادی بودند که به این قاعده اشاره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داشته‌اند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>،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این میان در بین متأخرین افرادی چون آقای خویی،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 xml:space="preserve"> شهید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صدر،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 xml:space="preserve"> آقای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تبریزی به این قاعده تعویض سند توجه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داشته‌اند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651421" w:rsidRPr="00707B9D" w:rsidRDefault="00651421" w:rsidP="00707B9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قاعده تعویض سند این است که این سند بسیار عام و کلی با تعبیر اخبرنا بجمیع کتبه و روایاته آمده است. در فهرست شیخ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این سند را به همه روایاتی که در تهذیب و استبصار می‌آید تسری داد.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شامل مواردی است که خود ایشان به سند در متن پرداخته است و در پایان وقتی عبارت فوق را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>،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این سندها را تکمیل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51421" w:rsidRPr="00707B9D" w:rsidRDefault="00651421" w:rsidP="00707B9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7B9D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در قبال عبارت اخبرنی بجمیع و کتبه و روایاته،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؛ آن سندی که در فهرست است شامل این روایت هم می‌شود. این سندها جای سندهایی که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اشخاص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ضعیفی درون آن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قرارگرفته‌اند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>، مثلاً در اینجا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>وقتی در فهرست می‌گوید هر چه من از ابن ابی عمیر نقل می‌کنم سندی دارد که آن سند معتبر است، جای این سند را تا ابن ابی عمیر می‌گیرد.</w:t>
      </w:r>
    </w:p>
    <w:p w:rsidR="00651421" w:rsidRPr="00707B9D" w:rsidRDefault="00651421" w:rsidP="00707B9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7B9D">
        <w:rPr>
          <w:rFonts w:ascii="IRBadr" w:hAnsi="IRBadr" w:cs="IRBadr"/>
          <w:sz w:val="28"/>
          <w:szCs w:val="28"/>
          <w:rtl/>
          <w:lang w:bidi="fa-IR"/>
        </w:rPr>
        <w:t>لذا اگر راوی از ابن ابی عمیر ضعیف باشد مضر به روایت نیست. چراکه آن سند مطلق سند صحیح است و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>جای این سند می‌نشیند.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در قبال این قاعده اشکالاتی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است که محل بحث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فراوانی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است و باید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درجایی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دیگر مطرح شود.</w:t>
      </w:r>
    </w:p>
    <w:p w:rsidR="00651421" w:rsidRPr="00707B9D" w:rsidRDefault="00171CA6" w:rsidP="00707B9D">
      <w:pPr>
        <w:pStyle w:val="Heading2"/>
        <w:rPr>
          <w:rFonts w:ascii="IRBadr" w:hAnsi="IRBadr" w:cs="IRBadr"/>
          <w:rtl/>
        </w:rPr>
      </w:pPr>
      <w:bookmarkStart w:id="11" w:name="_Toc428135835"/>
      <w:r w:rsidRPr="00707B9D">
        <w:rPr>
          <w:rFonts w:ascii="IRBadr" w:hAnsi="IRBadr" w:cs="IRBadr"/>
          <w:rtl/>
        </w:rPr>
        <w:t>جمع‌بندی</w:t>
      </w:r>
      <w:bookmarkEnd w:id="11"/>
    </w:p>
    <w:p w:rsidR="00651421" w:rsidRPr="00707B9D" w:rsidRDefault="00651421" w:rsidP="00707B9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بنابراین این سه حدیث دلالت بر مرتین می‌کرد. منتها حدیث اول دلالت معتبر و سند ضعیف داشت. حدیث دوم سند معتبر و دلالت ضعیف، حدیث سوم با آن مبنایی که ذکر کردیم سنداً و دلالتاً معتبر می‌شود. پس در طایفه اولی روایت معتبر داریم و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طبعاً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آن دو روایت </w:t>
      </w:r>
      <w:r w:rsidR="00761F48">
        <w:rPr>
          <w:rFonts w:ascii="IRBadr" w:hAnsi="IRBadr" w:cs="IRBadr"/>
          <w:sz w:val="28"/>
          <w:szCs w:val="28"/>
          <w:rtl/>
          <w:lang w:bidi="fa-IR"/>
        </w:rPr>
        <w:t>مؤید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این روایت می‌شود. و اما در مقابل این دو طایفه، طایفه دیگری وجود دارد که مره را کافی می‌داند.</w:t>
      </w:r>
    </w:p>
    <w:p w:rsidR="00651421" w:rsidRPr="00707B9D" w:rsidRDefault="00651421" w:rsidP="00707B9D">
      <w:pPr>
        <w:pStyle w:val="Heading3"/>
        <w:rPr>
          <w:rFonts w:ascii="IRBadr" w:hAnsi="IRBadr" w:cs="IRBadr"/>
          <w:rtl/>
        </w:rPr>
      </w:pPr>
      <w:bookmarkStart w:id="12" w:name="_Toc428135836"/>
      <w:r w:rsidRPr="00707B9D">
        <w:rPr>
          <w:rFonts w:ascii="IRBadr" w:hAnsi="IRBadr" w:cs="IRBadr"/>
          <w:rtl/>
        </w:rPr>
        <w:t>روایات طایفه مقابل</w:t>
      </w:r>
      <w:bookmarkEnd w:id="12"/>
    </w:p>
    <w:p w:rsidR="00651421" w:rsidRPr="00707B9D" w:rsidRDefault="00651421" w:rsidP="00707B9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7B9D">
        <w:rPr>
          <w:rFonts w:ascii="IRBadr" w:hAnsi="IRBadr" w:cs="IRBadr"/>
          <w:sz w:val="28"/>
          <w:szCs w:val="28"/>
          <w:rtl/>
          <w:lang w:bidi="fa-IR"/>
        </w:rPr>
        <w:t>روایت اول حدیث سوم این باب است که دارای سند معتبری است.</w:t>
      </w:r>
    </w:p>
    <w:p w:rsidR="00651421" w:rsidRPr="00707B9D" w:rsidRDefault="00651421" w:rsidP="00707B9D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707B9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«مُحَمَّدُ بْنُ الْحَسَنِ بِإِسْنَادِهِ عَنِ الْحُسَ</w:t>
      </w:r>
      <w:r w:rsidR="00171CA6" w:rsidRPr="00707B9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07B9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نِ بْنِ سَعِ</w:t>
      </w:r>
      <w:r w:rsidR="00171CA6" w:rsidRPr="00707B9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07B9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دٍ عَنِ ابْنِ مَحْبُوبٍ عَنِ الْفُضَ</w:t>
      </w:r>
      <w:r w:rsidR="00171CA6" w:rsidRPr="00707B9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07B9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لِ عَنْ أَبِ</w:t>
      </w:r>
      <w:r w:rsidR="00171CA6" w:rsidRPr="00707B9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07B9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قَالَ: إِنْ أَقَرَّ الرَّجُلُ الْحُرُّ عَلَ</w:t>
      </w:r>
      <w:r w:rsidR="00171CA6" w:rsidRPr="00707B9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07B9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نَفْسِهِ مَرَّةً وَاحِدَةً عِنْدَ الْإِمَامِ قُطِعَ.</w:t>
      </w:r>
      <w:r w:rsidR="00171CA6" w:rsidRPr="00707B9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707B9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1"/>
      </w:r>
    </w:p>
    <w:p w:rsidR="00651421" w:rsidRPr="00707B9D" w:rsidRDefault="00651421" w:rsidP="00707B9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این روایت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به‌صراحت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می‌گوید اگر انسان آزادی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یک‌بار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پیش امام اقرار کرد، دست او قطع می‌شود. البته این روایت از تهذیب و استبصار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است. اما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نسخه‌ای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که مرحوم صاحب جواهر از آن نقل نموده است،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 xml:space="preserve"> فرق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دارد چراکه در آن علاوه بر عبارت فوق تعبیر بسرقة نیز </w:t>
      </w:r>
      <w:r w:rsidR="00171CA6" w:rsidRPr="00707B9D">
        <w:rPr>
          <w:rFonts w:ascii="IRBadr" w:hAnsi="IRBadr" w:cs="IRBadr"/>
          <w:sz w:val="28"/>
          <w:szCs w:val="28"/>
          <w:rtl/>
          <w:lang w:bidi="fa-IR"/>
        </w:rPr>
        <w:t>اضافه‌شده</w:t>
      </w:r>
      <w:r w:rsidRPr="00707B9D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651421" w:rsidRPr="00707B9D" w:rsidRDefault="00651421" w:rsidP="00707B9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707B9D" w:rsidRDefault="00152670" w:rsidP="00707B9D">
      <w:pPr>
        <w:bidi/>
        <w:jc w:val="both"/>
        <w:rPr>
          <w:rFonts w:ascii="IRBadr" w:hAnsi="IRBadr" w:cs="IRBadr"/>
          <w:rtl/>
          <w:lang w:bidi="fa-IR"/>
        </w:rPr>
      </w:pPr>
    </w:p>
    <w:sectPr w:rsidR="00152670" w:rsidRPr="00707B9D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70" w:rsidRDefault="00857370" w:rsidP="000D5800">
      <w:pPr>
        <w:spacing w:after="0" w:line="240" w:lineRule="auto"/>
      </w:pPr>
      <w:r>
        <w:separator/>
      </w:r>
    </w:p>
  </w:endnote>
  <w:endnote w:type="continuationSeparator" w:id="0">
    <w:p w:rsidR="00857370" w:rsidRDefault="00857370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42" w:rsidRDefault="00F95B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84292444"/>
      <w:docPartObj>
        <w:docPartGallery w:val="Page Numbers (Bottom of Page)"/>
        <w:docPartUnique/>
      </w:docPartObj>
    </w:sdtPr>
    <w:sdtEndPr/>
    <w:sdtContent>
      <w:p w:rsidR="00707B9D" w:rsidRDefault="00707B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F4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71CA6" w:rsidRDefault="00171C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42" w:rsidRDefault="00F95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70" w:rsidRDefault="00857370" w:rsidP="00707B9D">
      <w:pPr>
        <w:bidi/>
        <w:spacing w:after="0" w:line="240" w:lineRule="auto"/>
      </w:pPr>
      <w:r>
        <w:separator/>
      </w:r>
    </w:p>
  </w:footnote>
  <w:footnote w:type="continuationSeparator" w:id="0">
    <w:p w:rsidR="00857370" w:rsidRDefault="00857370" w:rsidP="000D5800">
      <w:pPr>
        <w:spacing w:after="0" w:line="240" w:lineRule="auto"/>
      </w:pPr>
      <w:r>
        <w:continuationSeparator/>
      </w:r>
    </w:p>
  </w:footnote>
  <w:footnote w:id="1">
    <w:p w:rsidR="00651421" w:rsidRPr="00EC75CB" w:rsidRDefault="00651421" w:rsidP="00651421">
      <w:pPr>
        <w:pStyle w:val="FootnoteText"/>
        <w:rPr>
          <w:rFonts w:ascii="IRBadr" w:hAnsi="IRBadr" w:cs="IRBadr"/>
          <w:b/>
          <w:bCs/>
          <w:rtl/>
        </w:rPr>
      </w:pPr>
      <w:r w:rsidRPr="00EC75CB">
        <w:rPr>
          <w:rStyle w:val="FootnoteReference"/>
          <w:rFonts w:ascii="IRBadr" w:hAnsi="IRBadr" w:cs="IRBadr"/>
          <w:b/>
          <w:bCs/>
        </w:rPr>
        <w:footnoteRef/>
      </w:r>
      <w:r w:rsidRPr="00EC75CB">
        <w:rPr>
          <w:rFonts w:ascii="IRBadr" w:hAnsi="IRBadr" w:cs="IRBadr"/>
          <w:b/>
          <w:bCs/>
        </w:rPr>
        <w:t xml:space="preserve"> </w:t>
      </w:r>
      <w:r w:rsidRPr="00EC75CB">
        <w:rPr>
          <w:rFonts w:ascii="IRBadr" w:hAnsi="IRBadr" w:cs="IRBadr"/>
          <w:b/>
          <w:bCs/>
          <w:color w:val="000000" w:themeColor="text1"/>
          <w:rtl/>
        </w:rPr>
        <w:t>وسائل الش</w:t>
      </w:r>
      <w:r w:rsidR="00171CA6" w:rsidRPr="00EC75CB">
        <w:rPr>
          <w:rFonts w:ascii="IRBadr" w:hAnsi="IRBadr" w:cs="IRBadr"/>
          <w:b/>
          <w:bCs/>
          <w:color w:val="000000" w:themeColor="text1"/>
          <w:rtl/>
        </w:rPr>
        <w:t>ی</w:t>
      </w:r>
      <w:r w:rsidRPr="00EC75CB">
        <w:rPr>
          <w:rFonts w:ascii="IRBadr" w:hAnsi="IRBadr" w:cs="IRBadr"/>
          <w:b/>
          <w:bCs/>
          <w:color w:val="000000" w:themeColor="text1"/>
          <w:rtl/>
        </w:rPr>
        <w:t xml:space="preserve">عة؛ </w:t>
      </w:r>
      <w:r w:rsidR="00171CA6" w:rsidRPr="00EC75CB">
        <w:rPr>
          <w:rFonts w:ascii="IRBadr" w:hAnsi="IRBadr" w:cs="IRBadr"/>
          <w:b/>
          <w:bCs/>
          <w:color w:val="000000" w:themeColor="text1"/>
          <w:rtl/>
        </w:rPr>
        <w:t>ج 28</w:t>
      </w:r>
      <w:r w:rsidRPr="00EC75CB">
        <w:rPr>
          <w:rFonts w:ascii="IRBadr" w:hAnsi="IRBadr" w:cs="IRBadr"/>
          <w:b/>
          <w:bCs/>
          <w:color w:val="000000" w:themeColor="text1"/>
          <w:rtl/>
        </w:rPr>
        <w:t>، ص: 250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42" w:rsidRDefault="00F95B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707B9D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D47844D" wp14:editId="3BAB817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3876D3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  <w:lang w:bidi="fa-IR"/>
      </w:rPr>
      <w:drawing>
        <wp:inline distT="0" distB="0" distL="0" distR="0" wp14:anchorId="3D92D068" wp14:editId="4451EA44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707B9D">
      <w:rPr>
        <w:rFonts w:ascii="IranNastaliq" w:hAnsi="IranNastaliq" w:cs="IranNastaliq"/>
        <w:sz w:val="40"/>
        <w:szCs w:val="40"/>
      </w:rPr>
      <w:t>195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42" w:rsidRDefault="00F95B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228A2"/>
    <w:rsid w:val="000324F1"/>
    <w:rsid w:val="00041FE0"/>
    <w:rsid w:val="00052BA3"/>
    <w:rsid w:val="000626D3"/>
    <w:rsid w:val="0006363E"/>
    <w:rsid w:val="00080DFF"/>
    <w:rsid w:val="00085ED5"/>
    <w:rsid w:val="000A1A51"/>
    <w:rsid w:val="000B725D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1CA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31C75"/>
    <w:rsid w:val="00340BA3"/>
    <w:rsid w:val="00366400"/>
    <w:rsid w:val="003729B1"/>
    <w:rsid w:val="00377306"/>
    <w:rsid w:val="003963D7"/>
    <w:rsid w:val="00396F28"/>
    <w:rsid w:val="003A1A05"/>
    <w:rsid w:val="003A2654"/>
    <w:rsid w:val="003B34E5"/>
    <w:rsid w:val="003C06BF"/>
    <w:rsid w:val="003C7899"/>
    <w:rsid w:val="003D2F0A"/>
    <w:rsid w:val="003D563F"/>
    <w:rsid w:val="003E1E58"/>
    <w:rsid w:val="003F1AED"/>
    <w:rsid w:val="00405199"/>
    <w:rsid w:val="00410699"/>
    <w:rsid w:val="00415360"/>
    <w:rsid w:val="004170FC"/>
    <w:rsid w:val="004373F1"/>
    <w:rsid w:val="0044591E"/>
    <w:rsid w:val="004651D2"/>
    <w:rsid w:val="00465D26"/>
    <w:rsid w:val="004679F8"/>
    <w:rsid w:val="00494DC0"/>
    <w:rsid w:val="004B337F"/>
    <w:rsid w:val="004F3596"/>
    <w:rsid w:val="004F56BA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51421"/>
    <w:rsid w:val="00661F15"/>
    <w:rsid w:val="0066229C"/>
    <w:rsid w:val="00662F9F"/>
    <w:rsid w:val="00675B32"/>
    <w:rsid w:val="0069696C"/>
    <w:rsid w:val="006A085A"/>
    <w:rsid w:val="006D3A87"/>
    <w:rsid w:val="006F01B4"/>
    <w:rsid w:val="00707B9D"/>
    <w:rsid w:val="00734D59"/>
    <w:rsid w:val="0073609B"/>
    <w:rsid w:val="00752745"/>
    <w:rsid w:val="00761F48"/>
    <w:rsid w:val="00766458"/>
    <w:rsid w:val="0076665E"/>
    <w:rsid w:val="007749BC"/>
    <w:rsid w:val="00780C88"/>
    <w:rsid w:val="00780E25"/>
    <w:rsid w:val="007818F0"/>
    <w:rsid w:val="00783462"/>
    <w:rsid w:val="00786F39"/>
    <w:rsid w:val="00787B13"/>
    <w:rsid w:val="00792FAC"/>
    <w:rsid w:val="007A5D2F"/>
    <w:rsid w:val="007A7C17"/>
    <w:rsid w:val="007B0C3E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222D5"/>
    <w:rsid w:val="008407A4"/>
    <w:rsid w:val="00844860"/>
    <w:rsid w:val="00845CC4"/>
    <w:rsid w:val="00857370"/>
    <w:rsid w:val="008644F4"/>
    <w:rsid w:val="00883733"/>
    <w:rsid w:val="008965D2"/>
    <w:rsid w:val="008A236D"/>
    <w:rsid w:val="008A3E48"/>
    <w:rsid w:val="008B565A"/>
    <w:rsid w:val="008C3414"/>
    <w:rsid w:val="008D36D5"/>
    <w:rsid w:val="008E1103"/>
    <w:rsid w:val="008E3903"/>
    <w:rsid w:val="008F197C"/>
    <w:rsid w:val="008F63E3"/>
    <w:rsid w:val="00913C3B"/>
    <w:rsid w:val="00915509"/>
    <w:rsid w:val="00927388"/>
    <w:rsid w:val="009274FE"/>
    <w:rsid w:val="009401AC"/>
    <w:rsid w:val="009613AC"/>
    <w:rsid w:val="00980643"/>
    <w:rsid w:val="00986F41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8F"/>
    <w:rsid w:val="00AD27BE"/>
    <w:rsid w:val="00AF0F1A"/>
    <w:rsid w:val="00AF6CE9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2265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96DC0"/>
    <w:rsid w:val="00DB28BB"/>
    <w:rsid w:val="00DC603F"/>
    <w:rsid w:val="00DD3C0D"/>
    <w:rsid w:val="00DD4864"/>
    <w:rsid w:val="00DD71A2"/>
    <w:rsid w:val="00DE1DC4"/>
    <w:rsid w:val="00DE3B98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C75CB"/>
    <w:rsid w:val="00EE1C07"/>
    <w:rsid w:val="00EE2C91"/>
    <w:rsid w:val="00EE3979"/>
    <w:rsid w:val="00EF138C"/>
    <w:rsid w:val="00F034CE"/>
    <w:rsid w:val="00F10A0F"/>
    <w:rsid w:val="00F40284"/>
    <w:rsid w:val="00F5227D"/>
    <w:rsid w:val="00F67976"/>
    <w:rsid w:val="00F70BE1"/>
    <w:rsid w:val="00F76AEB"/>
    <w:rsid w:val="00F95B42"/>
    <w:rsid w:val="00FC0862"/>
    <w:rsid w:val="00FC1B7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07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07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AF4C-5334-4126-93F8-5FBB2E17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85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25</cp:revision>
  <dcterms:created xsi:type="dcterms:W3CDTF">2014-12-20T10:23:00Z</dcterms:created>
  <dcterms:modified xsi:type="dcterms:W3CDTF">2015-08-15T07:00:00Z</dcterms:modified>
</cp:coreProperties>
</file>