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5" w:rsidRPr="008A3878" w:rsidRDefault="006406DE" w:rsidP="00666C9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560405" w:rsidRPr="008A387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666C9E" w:rsidRPr="008A3878" w:rsidRDefault="00666C9E" w:rsidP="00666C9E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A3878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</w:p>
    <w:p w:rsidR="00666C9E" w:rsidRPr="008A3878" w:rsidRDefault="00666C9E" w:rsidP="00666C9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8A3878">
        <w:rPr>
          <w:rFonts w:ascii="IRBadr" w:hAnsi="IRBadr" w:cs="IRBadr"/>
          <w:b/>
          <w:bCs/>
          <w:sz w:val="28"/>
          <w:rtl/>
        </w:rPr>
        <w:fldChar w:fldCharType="begin"/>
      </w:r>
      <w:r w:rsidRPr="008A3878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8A3878">
        <w:rPr>
          <w:rFonts w:ascii="IRBadr" w:hAnsi="IRBadr" w:cs="IRBadr"/>
          <w:b/>
          <w:bCs/>
          <w:sz w:val="28"/>
        </w:rPr>
        <w:instrText>TOC</w:instrText>
      </w:r>
      <w:r w:rsidRPr="008A3878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8A3878">
        <w:rPr>
          <w:rFonts w:ascii="IRBadr" w:hAnsi="IRBadr" w:cs="IRBadr"/>
          <w:b/>
          <w:bCs/>
          <w:sz w:val="28"/>
        </w:rPr>
        <w:instrText>o "</w:instrText>
      </w:r>
      <w:r w:rsidRPr="008A3878">
        <w:rPr>
          <w:rFonts w:ascii="IRBadr" w:hAnsi="IRBadr" w:cs="IRBadr"/>
          <w:b/>
          <w:bCs/>
          <w:sz w:val="28"/>
          <w:rtl/>
        </w:rPr>
        <w:instrText>1-4</w:instrText>
      </w:r>
      <w:r w:rsidRPr="008A3878">
        <w:rPr>
          <w:rFonts w:ascii="IRBadr" w:hAnsi="IRBadr" w:cs="IRBadr"/>
          <w:b/>
          <w:bCs/>
          <w:sz w:val="28"/>
        </w:rPr>
        <w:instrText>" \h \z \u</w:instrText>
      </w:r>
      <w:r w:rsidRPr="008A3878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8A3878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162850" w:history="1">
        <w:r w:rsidRPr="008A3878">
          <w:rPr>
            <w:rStyle w:val="Hyperlink"/>
            <w:rFonts w:ascii="IRBadr" w:hAnsi="IRBadr" w:cs="IRBadr"/>
            <w:noProof/>
            <w:rtl/>
          </w:rPr>
          <w:t>حد سرقت</w:t>
        </w:r>
        <w:r w:rsidRPr="008A3878">
          <w:rPr>
            <w:rFonts w:ascii="IRBadr" w:hAnsi="IRBadr" w:cs="IRBadr"/>
            <w:noProof/>
            <w:webHidden/>
          </w:rPr>
          <w:tab/>
        </w:r>
        <w:r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8A3878">
          <w:rPr>
            <w:rFonts w:ascii="IRBadr" w:hAnsi="IRBadr" w:cs="IRBadr"/>
            <w:noProof/>
            <w:webHidden/>
          </w:rPr>
          <w:instrText xml:space="preserve"> PAGEREF _Toc428162850 \h </w:instrText>
        </w:r>
        <w:r w:rsidRPr="008A3878">
          <w:rPr>
            <w:rStyle w:val="Hyperlink"/>
            <w:rFonts w:ascii="IRBadr" w:hAnsi="IRBadr" w:cs="IRBadr"/>
            <w:noProof/>
            <w:rtl/>
          </w:rPr>
        </w:r>
        <w:r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8A3878">
          <w:rPr>
            <w:rFonts w:ascii="IRBadr" w:hAnsi="IRBadr" w:cs="IRBadr"/>
            <w:noProof/>
            <w:webHidden/>
          </w:rPr>
          <w:t>2</w:t>
        </w:r>
        <w:r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1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مرحله سوم: حبس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_Toc428162851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2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2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اقوال عامه در این مقام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_Toc428162852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2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3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جمع‌بندی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_Toc428162853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3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4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مستندات مرحله سوم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_Toc428162854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3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5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اول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_Toc428162855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3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6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_Toc428162856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3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7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دوم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_Toc428162857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4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8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سوم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_Toc428162858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4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59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_Toc428162859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5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60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پنجم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_Toc428162860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5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220598" w:rsidP="00666C9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62861" w:history="1">
        <w:r w:rsidR="00666C9E" w:rsidRPr="008A3878">
          <w:rPr>
            <w:rStyle w:val="Hyperlink"/>
            <w:rFonts w:ascii="IRBadr" w:hAnsi="IRBadr" w:cs="IRBadr"/>
            <w:noProof/>
            <w:rtl/>
          </w:rPr>
          <w:t>روایت ششم</w:t>
        </w:r>
        <w:r w:rsidR="00666C9E" w:rsidRPr="008A3878">
          <w:rPr>
            <w:rFonts w:ascii="IRBadr" w:hAnsi="IRBadr" w:cs="IRBadr"/>
            <w:noProof/>
            <w:webHidden/>
          </w:rPr>
          <w:tab/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66C9E" w:rsidRPr="008A3878">
          <w:rPr>
            <w:rFonts w:ascii="IRBadr" w:hAnsi="IRBadr" w:cs="IRBadr"/>
            <w:noProof/>
            <w:webHidden/>
          </w:rPr>
          <w:instrText xml:space="preserve"> PAGEREF _Toc428162861 \h </w:instrText>
        </w:r>
        <w:r w:rsidR="00666C9E" w:rsidRPr="008A3878">
          <w:rPr>
            <w:rStyle w:val="Hyperlink"/>
            <w:rFonts w:ascii="IRBadr" w:hAnsi="IRBadr" w:cs="IRBadr"/>
            <w:noProof/>
            <w:rtl/>
          </w:rPr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66C9E" w:rsidRPr="008A3878">
          <w:rPr>
            <w:rFonts w:ascii="IRBadr" w:hAnsi="IRBadr" w:cs="IRBadr"/>
            <w:noProof/>
            <w:webHidden/>
          </w:rPr>
          <w:t>5</w:t>
        </w:r>
        <w:r w:rsidR="00666C9E" w:rsidRPr="008A387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6C9E" w:rsidRPr="008A3878" w:rsidRDefault="00666C9E" w:rsidP="00666C9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8A3878" w:rsidRDefault="008A3878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162850"/>
      <w:r>
        <w:rPr>
          <w:rFonts w:ascii="IRBadr" w:hAnsi="IRBadr" w:cs="IRBadr"/>
          <w:rtl/>
        </w:rPr>
        <w:br w:type="page"/>
      </w:r>
    </w:p>
    <w:p w:rsidR="00560405" w:rsidRPr="008A3878" w:rsidRDefault="00560405" w:rsidP="00666C9E">
      <w:pPr>
        <w:pStyle w:val="Heading1"/>
        <w:rPr>
          <w:rFonts w:ascii="IRBadr" w:hAnsi="IRBadr" w:cs="IRBadr"/>
          <w:rtl/>
        </w:rPr>
      </w:pPr>
      <w:r w:rsidRPr="008A3878">
        <w:rPr>
          <w:rFonts w:ascii="IRBadr" w:hAnsi="IRBadr" w:cs="IRBadr"/>
          <w:rtl/>
        </w:rPr>
        <w:lastRenderedPageBreak/>
        <w:t>حد سرقت</w:t>
      </w:r>
      <w:bookmarkEnd w:id="0"/>
    </w:p>
    <w:p w:rsidR="00560405" w:rsidRPr="008A3878" w:rsidRDefault="00560405" w:rsidP="00666C9E">
      <w:pPr>
        <w:pStyle w:val="Heading1"/>
        <w:rPr>
          <w:rFonts w:ascii="IRBadr" w:hAnsi="IRBadr" w:cs="IRBadr"/>
          <w:rtl/>
        </w:rPr>
      </w:pPr>
      <w:bookmarkStart w:id="1" w:name="_Toc428162851"/>
      <w:r w:rsidRPr="008A3878">
        <w:rPr>
          <w:rFonts w:ascii="IRBadr" w:hAnsi="IRBadr" w:cs="IRBadr"/>
          <w:rtl/>
        </w:rPr>
        <w:t>مرحله سوم: حبس</w:t>
      </w:r>
      <w:bookmarkEnd w:id="1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در جلسه قبل در قبال مرحله اول و دوم که قطع ید و رجل بود،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مباحثی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مطرح شد،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قرار گرفت و به اختلافاتی که در مقدار قطع ید یا رجل وجود داشت پرداخته شد.</w:t>
      </w:r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پس‌ازاین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دو مرحله،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سوم یعنی حبس است، در بین امامیه تقریباً بلکه تحقیقاً اختلافی وجود ندارد که اگر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شهود شهادت دادند و دست قطع شد بار دوم شهادت دادند و پا قطع شد بار سوم اگر شهود اقامه شد یا اقرار کردند،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حبس ابد خواهد بود.</w:t>
      </w:r>
    </w:p>
    <w:p w:rsidR="00560405" w:rsidRPr="008A3878" w:rsidRDefault="00560405" w:rsidP="00666C9E">
      <w:pPr>
        <w:pStyle w:val="Heading1"/>
        <w:rPr>
          <w:rFonts w:ascii="IRBadr" w:hAnsi="IRBadr" w:cs="IRBadr"/>
          <w:rtl/>
        </w:rPr>
      </w:pPr>
      <w:bookmarkStart w:id="2" w:name="_Toc428162852"/>
      <w:r w:rsidRPr="008A3878">
        <w:rPr>
          <w:rFonts w:ascii="IRBadr" w:hAnsi="IRBadr" w:cs="IRBadr"/>
          <w:rtl/>
        </w:rPr>
        <w:t>اقوال عامه در این مقام</w:t>
      </w:r>
      <w:bookmarkEnd w:id="2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در مغنی ابن قدامه صفحه دویست و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شصت‌وهفت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است که اگر مجدداً تکرار کرد بعد از دست راست و پای چپ، بار سوم برای حد دیگر متعرض دست یا پا نمی‌شوند بلکه فرد حبس می‌شود.</w:t>
      </w:r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در عامه در این قبال دو قول است؛ رأی اول که بار سوم حبس است و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دست‌وپایش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قطع نمی‌شود مشهور به رأی </w:t>
      </w:r>
      <w:r w:rsidR="000D564F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است. قول دیگر این است که برخی به قتل و برخی به تعزیر و حبس قائل 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>.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قول تعزیر و حبس از طرف احمد بن حنبل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60405" w:rsidRPr="008A3878" w:rsidRDefault="006406DE" w:rsidP="00666C9E">
      <w:pPr>
        <w:pStyle w:val="Heading1"/>
        <w:rPr>
          <w:rFonts w:ascii="IRBadr" w:hAnsi="IRBadr" w:cs="IRBadr"/>
          <w:rtl/>
        </w:rPr>
      </w:pPr>
      <w:bookmarkStart w:id="3" w:name="_Toc428162853"/>
      <w:r w:rsidRPr="008A3878">
        <w:rPr>
          <w:rFonts w:ascii="IRBadr" w:hAnsi="IRBadr" w:cs="IRBadr"/>
          <w:rtl/>
        </w:rPr>
        <w:t>جمع‌بندی</w:t>
      </w:r>
      <w:bookmarkEnd w:id="3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در حقیقت در بین عامه سه قول وجود دارد؛ یکی اینکه بار سوم حبس بشود. دوم اینکه بار سوم دست چپ قطع می‌شود و بار چهارم پای راست و بار پنجم تعزیر و حبس است. این قول دوم، قول سوم اینکه بار سوم دست چپ قطع می‌شود،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بار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چهارم پای راست و بار پنجم کشته می‌شود.</w:t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4" w:name="_Toc428162854"/>
      <w:r w:rsidRPr="008A3878">
        <w:rPr>
          <w:rFonts w:ascii="IRBadr" w:hAnsi="IRBadr" w:cs="IRBadr"/>
          <w:rtl/>
        </w:rPr>
        <w:lastRenderedPageBreak/>
        <w:t>مستندات مرحله سوم</w:t>
      </w:r>
      <w:bookmarkEnd w:id="4"/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5" w:name="_Toc428162855"/>
      <w:r w:rsidRPr="008A3878">
        <w:rPr>
          <w:rFonts w:ascii="IRBadr" w:hAnsi="IRBadr" w:cs="IRBadr"/>
          <w:rtl/>
        </w:rPr>
        <w:t>روایت اول</w:t>
      </w:r>
      <w:bookmarkEnd w:id="5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8A3878">
        <w:rPr>
          <w:rFonts w:ascii="IRBadr" w:hAnsi="IRBadr" w:cs="IRBadr"/>
          <w:sz w:val="28"/>
          <w:szCs w:val="28"/>
          <w:rtl/>
        </w:rPr>
        <w:t>سند روایت معتبر است؛</w:t>
      </w:r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أَحْمَدَ بْنِ مُحَمَّدِ بْنِ خَالِدٍ عَنْ عُثْمَانَ بْنِ عِ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سَمَاعَةَ بْنِ مِهْرَانَ قَالَ قَالَ: إِذَا أُخِذَ السَّارِقُ قُطِعَتْ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دُهُ مِنْ وَسَطِ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فِّ فَإِنْ عَادَ قُطِعَتْ رِجْلُهُ مِنْ وَسَطِ الْقَدَمِ فَإِنْ عَادَ اسْتُودِعَ السِّجْنَ فَإِنْ سَرَقَ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قُتِلَ.» 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6" w:name="_Toc428162856"/>
      <w:r w:rsidRPr="008A3878">
        <w:rPr>
          <w:rFonts w:ascii="IRBadr" w:hAnsi="IRBadr" w:cs="IRBadr"/>
          <w:rtl/>
        </w:rPr>
        <w:t>بررسی روایت</w:t>
      </w:r>
      <w:bookmarkEnd w:id="6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اگر دو دفعه انجام داد بار سوم در زندان سپرده می‌شود. و بار چهارم در زندان اگر سرقت کرد کشته می‌شود. البته 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>قید «</w:t>
      </w:r>
      <w:r w:rsidRPr="008A387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فِ</w:t>
      </w:r>
      <w:r w:rsidR="0047273C" w:rsidRPr="008A387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A387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السِّجْنِ»</w:t>
      </w:r>
      <w:r w:rsidR="0047273C" w:rsidRPr="008A387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قید غالبی است نه قید احترازی و معنایش این نیست که اگر بار چهارم از زندان فرار کرد و باز دزدی کرد کشته نمی‌شود. به خاطر اینکه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علی‌الاصول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آدمی که در زندان است نمی‌تواند بیرون دزدی کند. والا سجن خصوصیتی در حکم ندارد.</w:t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7" w:name="_Toc428162857"/>
      <w:r w:rsidRPr="008A3878">
        <w:rPr>
          <w:rFonts w:ascii="IRBadr" w:hAnsi="IRBadr" w:cs="IRBadr"/>
          <w:rtl/>
        </w:rPr>
        <w:t>روایت دوم</w:t>
      </w:r>
      <w:bookmarkEnd w:id="7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در باب پنج هم احادیث دیگری است که همین مضمون را افاده می‌کند که ظاهراً سند معتبری داشته باشد که؛</w:t>
      </w:r>
    </w:p>
    <w:p w:rsidR="00560405" w:rsidRPr="008A3878" w:rsidRDefault="00560405" w:rsidP="00666C9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«ابْنِ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نَجْرَانَ عَنْ عَاصِمِ بْنِ حُمَ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مُحَمَّدِ بْنِ قَ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عَنْ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قَضَ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D564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امیرالمؤمنین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السَّارِقِ إِذَا سَرَقَ قَطَعْتُ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نَهُ وَ إِذَا سَرَقَ مَرَّةً أُخْرَ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قَطَعْتُ رِجْلَهُ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سْرَ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ثُمَّ إِذَا سَرَقَ مَرَّةً أُخْرَ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سَجَنْتُهُ وَ تَرَ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تُ رِجْلَهُ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مْنَ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مْشِ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إِلَ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الْغَائِطِ وَ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دَهُ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سْرَ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لُ بِهَا وَ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سْتَنْجِ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بِهَا وَ قَالَ إِنِّ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لَأَسْتَحْ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مِنَ اللَّهِ أَنْ أَتْرُ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هُ لَا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نْتَفِعُ بِشَ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وَ 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نِّ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أَسْجُنُهُ حَتَّ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مُوتَ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وَ قَالَ مَا قَطَعَ رَسُولُ اللَّهِ ص مِنْ سَارِقٍ بَعْدَ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دِهِ وَ رِجْلِهِ.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8" w:name="_Toc428162858"/>
      <w:r w:rsidRPr="008A3878">
        <w:rPr>
          <w:rFonts w:ascii="IRBadr" w:hAnsi="IRBadr" w:cs="IRBadr"/>
          <w:rtl/>
        </w:rPr>
        <w:lastRenderedPageBreak/>
        <w:t>روایت سوم</w:t>
      </w:r>
      <w:bookmarkEnd w:id="8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روایت دیگری در این زمینه در مغنی ابن قدامه و به اسناد عامه وجود دارد؛</w:t>
      </w:r>
    </w:p>
    <w:p w:rsidR="00560405" w:rsidRPr="008A3878" w:rsidRDefault="00560405" w:rsidP="00666C9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«رو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سع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 حدّثنا أبو معشر عن سع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 بن أب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سع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 المقبر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عن أب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 قال حضرت عل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بن أب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طالب رض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الله عنه ات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bookmarkStart w:id="9" w:name="_GoBack"/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برجل مقطوع ال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 و الرجل </w:t>
      </w:r>
      <w:bookmarkEnd w:id="9"/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قد سرق فقال لأصحابه ما ترون ف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هذا؟ قالوا: اقطعه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 </w:t>
      </w:r>
      <w:r w:rsidR="000D564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امیرالمؤمنین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، فقال: قتلته إذاً و ما عل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 القتل بأ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 الطعام؟ بأ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توضّأ للصلاة؟ بأ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غتسل من جنابته؟ بأ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قوم عل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حاجته؟ فردّه إل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السجن أ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اماً ثمّ أخرجه فاستشار أصحابه فقالوا مثل قولهم الأوّل و قال لهم مثل ما قال أوّل مرّة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حضرت فرمود: اگر دستش را قطع کنند مثل مرده است دیگر زندگی ندارد. این روایت دومی است که حدیث اول باب پنج بود.</w:t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10" w:name="_Toc428162859"/>
      <w:r w:rsidRPr="008A3878">
        <w:rPr>
          <w:rFonts w:ascii="IRBadr" w:hAnsi="IRBadr" w:cs="IRBadr"/>
          <w:rtl/>
        </w:rPr>
        <w:t>روایت چهارم</w:t>
      </w:r>
      <w:bookmarkEnd w:id="10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حدیث دوم این باب باز روایت معتبره ای است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که امام 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>باقر (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>ع) می‌گوید:</w:t>
      </w:r>
    </w:p>
    <w:p w:rsidR="00560405" w:rsidRPr="008A3878" w:rsidRDefault="00560405" w:rsidP="00666C9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«حُمَ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 بْنُ زِ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عَنِ الْحَسَنِ بْنِ مُحَمَّدِ بْنِ سَمَاعَةَ عَنْ غَ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وَاحِدٍ عَنْ أَبَانِ بْنِ عُثْمَانَ عَنْ زُرَارَةَ عَنْ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عَلِ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لَا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 عَلَ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قَطْعِ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دِ وَ الرِّجْلِ وَ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إِنِّ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لَأَسْتَحْ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 رَبِّ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 أَدَعَهُ 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سَ لَهُ مَا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سْتَنْجِ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بِهِ أَوْ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تَطَهَّرُ بِهِ قَالَ وَ سَأَلْتُهُ إِنْ هُوَ سَرَقَ بَعْدَ قَطْعِ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 وَ الرِّجْلِ فَقَالَ أَسْتَوْدِعُهُ السِّجْنَ أَبَداً وَ أُغْنِ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النَّاسِ شَرَّهُ.» 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11" w:name="_Toc428162860"/>
      <w:r w:rsidRPr="008A3878">
        <w:rPr>
          <w:rFonts w:ascii="IRBadr" w:hAnsi="IRBadr" w:cs="IRBadr"/>
          <w:rtl/>
        </w:rPr>
        <w:t>روایت پنجم</w:t>
      </w:r>
      <w:bookmarkEnd w:id="11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روایت سوم باب پنج که حدیث معتبری است،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560405" w:rsidRPr="008A3878" w:rsidRDefault="00560405" w:rsidP="00666C9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أَحْمَدَ بْنِ مُحَمَّدٍ عَنِ الْحُسَ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سَعِ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عَنِ النَّضْرِ بْنِ سُوَ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عَنِ الْقَاسِمِ عَنْ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سَأَلْتُهُ عَنْ رَجُلٍ سَرَقَ فَقَالَ سَمِعْتُ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أُتِ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زَمَانِهِ بِرَجُلٍ قَدْ سَرَقَ فَقَطَعَ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دَهُ ثُمَّ أُتِ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بِهِ ثَانِ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ةً فَقَطَعَ رِجْلَهُ مِنْ 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خِلَافٍ ثُمَّ أُتِ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بِهِ ثَالِثَةً فَخَلَّدَهُ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وَ أَنْفَقَ عَلَ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مِنْ بَ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تِ مَالِ الْمُسْلِمِ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وَ قَالَ هَ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ذَا صَنَعَ رَسُولُ اللَّهِ ص لَا أُخَالِفُهُ.</w:t>
      </w:r>
      <w:r w:rsidR="000D564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560405" w:rsidRPr="008A3878" w:rsidRDefault="00560405" w:rsidP="00666C9E">
      <w:pPr>
        <w:pStyle w:val="Heading2"/>
        <w:rPr>
          <w:rFonts w:ascii="IRBadr" w:hAnsi="IRBadr" w:cs="IRBadr"/>
          <w:rtl/>
        </w:rPr>
      </w:pPr>
      <w:bookmarkStart w:id="12" w:name="_Toc428162861"/>
      <w:r w:rsidRPr="008A3878">
        <w:rPr>
          <w:rFonts w:ascii="IRBadr" w:hAnsi="IRBadr" w:cs="IRBadr"/>
          <w:rtl/>
        </w:rPr>
        <w:t>روایت ششم</w:t>
      </w:r>
      <w:bookmarkEnd w:id="12"/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حدیث بعدی هم حدیث پنجم باب است که </w:t>
      </w:r>
      <w:r w:rsidR="006406DE" w:rsidRPr="008A3878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مرسله است؛</w:t>
      </w:r>
    </w:p>
    <w:p w:rsidR="00560405" w:rsidRPr="008A3878" w:rsidRDefault="00560405" w:rsidP="00666C9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/>
          <w:sz w:val="30"/>
          <w:szCs w:val="30"/>
          <w:rtl/>
          <w:lang w:bidi="fa-IR"/>
        </w:rPr>
      </w:pP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30"/>
          <w:szCs w:val="30"/>
          <w:rtl/>
          <w:lang w:bidi="fa-IR"/>
        </w:rPr>
        <w:t xml:space="preserve"> 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بْنُ إِبْرَاهِ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بَعْضِ أَصْحَابِهِ عَنْ حَمَّادٍ عَنْ أَبِ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لَا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خَلَّدُ فِ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إِلَّا ثَلَاثَةٌ الَّذِ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مَثِّلُ وَ الْمَرْأَةُ تَرْتَدُّ عَنِ الْإِسْلَامِ وَ السَّارِقُ بَعْدَ قَطْعِ الْ</w:t>
      </w:r>
      <w:r w:rsidR="0047273C"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 وَ الرِّجْلِ.»</w:t>
      </w:r>
      <w:r w:rsidRPr="008A3878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560405" w:rsidRPr="008A3878" w:rsidRDefault="00560405" w:rsidP="00666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3878">
        <w:rPr>
          <w:rFonts w:ascii="IRBadr" w:hAnsi="IRBadr" w:cs="IRBadr"/>
          <w:sz w:val="28"/>
          <w:szCs w:val="28"/>
          <w:rtl/>
          <w:lang w:bidi="fa-IR"/>
        </w:rPr>
        <w:t>روایات دیگری نیز در این زمینه حتی در میان عامه وجود دارد که حبس ابد در مرحله چهارم را به استفاضه رسانده است.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مخالفی نیز با این حکم وارد نشده است.</w:t>
      </w:r>
      <w:r w:rsidR="0047273C" w:rsidRPr="008A387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8A3878">
        <w:rPr>
          <w:rFonts w:ascii="IRBadr" w:hAnsi="IRBadr" w:cs="IRBadr"/>
          <w:sz w:val="28"/>
          <w:szCs w:val="28"/>
          <w:rtl/>
          <w:lang w:bidi="fa-IR"/>
        </w:rPr>
        <w:t xml:space="preserve"> باید توجه داشت که ملاک از دفعات در اینجا دفعات سرقت نیست بلکه دفعات ثبوت عند الحاکم است و عامه نیز به همین امر قائل هستند.</w:t>
      </w:r>
    </w:p>
    <w:p w:rsidR="00152670" w:rsidRPr="008A3878" w:rsidRDefault="00152670" w:rsidP="00666C9E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8A3878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98" w:rsidRDefault="00220598" w:rsidP="000D5800">
      <w:pPr>
        <w:spacing w:after="0" w:line="240" w:lineRule="auto"/>
      </w:pPr>
      <w:r>
        <w:separator/>
      </w:r>
    </w:p>
  </w:endnote>
  <w:endnote w:type="continuationSeparator" w:id="0">
    <w:p w:rsidR="00220598" w:rsidRDefault="0022059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7" w:rsidRDefault="00A8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8682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C9E" w:rsidRDefault="00666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64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7273C" w:rsidRDefault="00472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7" w:rsidRDefault="00A8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98" w:rsidRDefault="00220598" w:rsidP="00666C9E">
      <w:pPr>
        <w:bidi/>
        <w:spacing w:after="0" w:line="240" w:lineRule="auto"/>
      </w:pPr>
      <w:r>
        <w:separator/>
      </w:r>
    </w:p>
  </w:footnote>
  <w:footnote w:type="continuationSeparator" w:id="0">
    <w:p w:rsidR="00220598" w:rsidRDefault="00220598" w:rsidP="000D5800">
      <w:pPr>
        <w:spacing w:after="0" w:line="240" w:lineRule="auto"/>
      </w:pPr>
      <w:r>
        <w:continuationSeparator/>
      </w:r>
    </w:p>
  </w:footnote>
  <w:footnote w:id="1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اف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(ط - الإسلام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ة)؛ </w:t>
      </w:r>
      <w:r w:rsidR="0047273C" w:rsidRPr="00666C9E">
        <w:rPr>
          <w:rFonts w:ascii="Noor_Titr" w:hAnsi="Noor_Titr" w:cs="B Badr"/>
          <w:b/>
          <w:bCs/>
          <w:color w:val="000000" w:themeColor="text1"/>
          <w:rtl/>
        </w:rPr>
        <w:t>ج 7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، ص: 223</w:t>
      </w:r>
    </w:p>
  </w:footnote>
  <w:footnote w:id="2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اف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(ط - الإسلام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ة)؛ </w:t>
      </w:r>
      <w:r w:rsidR="0047273C" w:rsidRPr="00666C9E">
        <w:rPr>
          <w:rFonts w:ascii="Noor_Titr" w:hAnsi="Noor_Titr" w:cs="B Badr"/>
          <w:b/>
          <w:bCs/>
          <w:color w:val="000000" w:themeColor="text1"/>
          <w:rtl/>
        </w:rPr>
        <w:t>ج 7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، ص: 223</w:t>
      </w:r>
    </w:p>
  </w:footnote>
  <w:footnote w:id="3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السرقة عل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ضوء القرآن و السنة؛ ص: 340</w:t>
      </w:r>
    </w:p>
  </w:footnote>
  <w:footnote w:id="4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اف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(ط - الإسلام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ة)؛ </w:t>
      </w:r>
      <w:r w:rsidR="0047273C" w:rsidRPr="00666C9E">
        <w:rPr>
          <w:rFonts w:ascii="Noor_Titr" w:hAnsi="Noor_Titr" w:cs="B Badr"/>
          <w:b/>
          <w:bCs/>
          <w:color w:val="000000" w:themeColor="text1"/>
          <w:rtl/>
        </w:rPr>
        <w:t>ج 7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، ص: 222</w:t>
      </w:r>
    </w:p>
  </w:footnote>
  <w:footnote w:id="5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اف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(ط - الإسلام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ة)؛ </w:t>
      </w:r>
      <w:r w:rsidR="0047273C" w:rsidRPr="00666C9E">
        <w:rPr>
          <w:rFonts w:ascii="Noor_Titr" w:hAnsi="Noor_Titr" w:cs="B Badr"/>
          <w:b/>
          <w:bCs/>
          <w:color w:val="000000" w:themeColor="text1"/>
          <w:rtl/>
        </w:rPr>
        <w:t>ج 7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، ص: 223</w:t>
      </w:r>
    </w:p>
  </w:footnote>
  <w:footnote w:id="6">
    <w:p w:rsidR="00560405" w:rsidRPr="00666C9E" w:rsidRDefault="00560405" w:rsidP="00560405">
      <w:pPr>
        <w:pStyle w:val="FootnoteText"/>
        <w:rPr>
          <w:b/>
          <w:bCs/>
          <w:rtl/>
        </w:rPr>
      </w:pPr>
      <w:r w:rsidRPr="00666C9E">
        <w:rPr>
          <w:rStyle w:val="FootnoteReference"/>
          <w:b/>
          <w:bCs/>
        </w:rPr>
        <w:footnoteRef/>
      </w:r>
      <w:r w:rsidRPr="00666C9E">
        <w:rPr>
          <w:b/>
          <w:bCs/>
        </w:rPr>
        <w:t xml:space="preserve"> 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ال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اف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 (ط - الإسلام</w:t>
      </w:r>
      <w:r w:rsidR="0047273C" w:rsidRPr="00666C9E"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 xml:space="preserve">ة)؛ </w:t>
      </w:r>
      <w:r w:rsidR="0047273C" w:rsidRPr="00666C9E">
        <w:rPr>
          <w:rFonts w:ascii="Noor_Titr" w:hAnsi="Noor_Titr" w:cs="B Badr"/>
          <w:b/>
          <w:bCs/>
          <w:color w:val="000000" w:themeColor="text1"/>
          <w:rtl/>
        </w:rPr>
        <w:t>ج 7</w:t>
      </w:r>
      <w:r w:rsidRPr="00666C9E">
        <w:rPr>
          <w:rFonts w:ascii="Noor_Titr" w:hAnsi="Noor_Titr" w:cs="B Badr" w:hint="cs"/>
          <w:b/>
          <w:bCs/>
          <w:color w:val="000000" w:themeColor="text1"/>
          <w:rtl/>
        </w:rPr>
        <w:t>، ص: 270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7" w:rsidRDefault="00A8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81237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E08F9B" wp14:editId="7DF2109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9366E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4A733E42" wp14:editId="422835E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81237">
      <w:rPr>
        <w:rFonts w:ascii="IranNastaliq" w:hAnsi="IranNastaliq" w:cs="IranNastaliq"/>
        <w:sz w:val="40"/>
        <w:szCs w:val="40"/>
        <w:lang w:bidi="fa-IR"/>
      </w:rPr>
      <w:t>199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7" w:rsidRDefault="00A81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64F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0598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961C1"/>
    <w:rsid w:val="004B337F"/>
    <w:rsid w:val="004F3596"/>
    <w:rsid w:val="004F56BA"/>
    <w:rsid w:val="00560405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406DE"/>
    <w:rsid w:val="0066229C"/>
    <w:rsid w:val="00666C9E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77BD6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83733"/>
    <w:rsid w:val="008965D2"/>
    <w:rsid w:val="008A236D"/>
    <w:rsid w:val="008A3878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1237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38E4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E7EC-FB7C-4C5E-A902-4D2D13C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26</cp:revision>
  <dcterms:created xsi:type="dcterms:W3CDTF">2014-12-20T10:23:00Z</dcterms:created>
  <dcterms:modified xsi:type="dcterms:W3CDTF">2015-08-15T07:17:00Z</dcterms:modified>
</cp:coreProperties>
</file>