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3C" w:rsidRPr="001D003A" w:rsidRDefault="00655A43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1D003A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0E1CD9" w:rsidRPr="001D003A" w:rsidRDefault="000E1CD9" w:rsidP="000E1C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0E1CD9" w:rsidRPr="001D003A" w:rsidRDefault="000E1CD9" w:rsidP="000E1C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1D003A">
        <w:rPr>
          <w:rFonts w:ascii="IRBadr" w:hAnsi="IRBadr" w:cs="IRBadr"/>
          <w:sz w:val="28"/>
          <w:rtl/>
        </w:rPr>
        <w:fldChar w:fldCharType="begin"/>
      </w:r>
      <w:r w:rsidRPr="001D003A">
        <w:rPr>
          <w:rFonts w:ascii="IRBadr" w:hAnsi="IRBadr" w:cs="IRBadr"/>
          <w:sz w:val="28"/>
          <w:rtl/>
        </w:rPr>
        <w:instrText xml:space="preserve"> </w:instrText>
      </w:r>
      <w:r w:rsidRPr="001D003A">
        <w:rPr>
          <w:rFonts w:ascii="IRBadr" w:hAnsi="IRBadr" w:cs="IRBadr"/>
          <w:sz w:val="28"/>
        </w:rPr>
        <w:instrText>TOC</w:instrText>
      </w:r>
      <w:r w:rsidRPr="001D003A">
        <w:rPr>
          <w:rFonts w:ascii="IRBadr" w:hAnsi="IRBadr" w:cs="IRBadr"/>
          <w:sz w:val="28"/>
          <w:rtl/>
        </w:rPr>
        <w:instrText xml:space="preserve"> \</w:instrText>
      </w:r>
      <w:r w:rsidRPr="001D003A">
        <w:rPr>
          <w:rFonts w:ascii="IRBadr" w:hAnsi="IRBadr" w:cs="IRBadr"/>
          <w:sz w:val="28"/>
        </w:rPr>
        <w:instrText>o "</w:instrText>
      </w:r>
      <w:r w:rsidRPr="001D003A">
        <w:rPr>
          <w:rFonts w:ascii="IRBadr" w:hAnsi="IRBadr" w:cs="IRBadr"/>
          <w:sz w:val="28"/>
          <w:rtl/>
        </w:rPr>
        <w:instrText>1-4</w:instrText>
      </w:r>
      <w:r w:rsidRPr="001D003A">
        <w:rPr>
          <w:rFonts w:ascii="IRBadr" w:hAnsi="IRBadr" w:cs="IRBadr"/>
          <w:sz w:val="28"/>
        </w:rPr>
        <w:instrText>" \h \z \u</w:instrText>
      </w:r>
      <w:r w:rsidRPr="001D003A">
        <w:rPr>
          <w:rFonts w:ascii="IRBadr" w:hAnsi="IRBadr" w:cs="IRBadr"/>
          <w:sz w:val="28"/>
          <w:rtl/>
        </w:rPr>
        <w:instrText xml:space="preserve"> </w:instrText>
      </w:r>
      <w:r w:rsidRPr="001D003A">
        <w:rPr>
          <w:rFonts w:ascii="IRBadr" w:hAnsi="IRBadr" w:cs="IRBadr"/>
          <w:sz w:val="28"/>
          <w:rtl/>
        </w:rPr>
        <w:fldChar w:fldCharType="separate"/>
      </w:r>
      <w:hyperlink w:anchor="_Toc427654964" w:history="1">
        <w:r w:rsidRPr="001D003A">
          <w:rPr>
            <w:rStyle w:val="Hyperlink"/>
            <w:rFonts w:ascii="IRBadr" w:hAnsi="IRBadr" w:cs="IRBadr"/>
            <w:noProof/>
            <w:rtl/>
          </w:rPr>
          <w:t>حد سرقت</w:t>
        </w:r>
        <w:r w:rsidRPr="001D003A">
          <w:rPr>
            <w:rFonts w:ascii="IRBadr" w:hAnsi="IRBadr" w:cs="IRBadr"/>
            <w:noProof/>
            <w:webHidden/>
          </w:rPr>
          <w:tab/>
        </w:r>
        <w:r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1D003A">
          <w:rPr>
            <w:rFonts w:ascii="IRBadr" w:hAnsi="IRBadr" w:cs="IRBadr"/>
            <w:noProof/>
            <w:webHidden/>
          </w:rPr>
          <w:instrText xml:space="preserve"> PAGEREF _Toc427654964 \h </w:instrText>
        </w:r>
        <w:r w:rsidRPr="001D003A">
          <w:rPr>
            <w:rStyle w:val="Hyperlink"/>
            <w:rFonts w:ascii="IRBadr" w:hAnsi="IRBadr" w:cs="IRBadr"/>
            <w:noProof/>
            <w:rtl/>
          </w:rPr>
        </w:r>
        <w:r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1D003A">
          <w:rPr>
            <w:rFonts w:ascii="IRBadr" w:hAnsi="IRBadr" w:cs="IRBadr"/>
            <w:noProof/>
            <w:webHidden/>
          </w:rPr>
          <w:t>2</w:t>
        </w:r>
        <w:r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4965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_Toc427654965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2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4966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روایات قائل به دیه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_Toc427654966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2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4967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روایت اول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_Toc427654967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2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4968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روایت دوم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_Toc427654968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3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4969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مرسلات شیخ صدوق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_Toc427654969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3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4970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قول به‌تفصیل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_Toc427654970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3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1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ترتیب تحول تاریخی روایات شیعه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_Toc427654971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4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2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مرحله سوم و چهارم حدیثی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_Toc427654972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4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3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مرحله امروزی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_Toc427654973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4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4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لواحق بحث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_Toc427654974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4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5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سرقت مشترک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_Toc427654975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4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6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تنقیح بحث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_Toc427654976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5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7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اقوال در این باب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_Toc427654977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5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8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_Toc427654978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5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79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مستند قطع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_Toc427654979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5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80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روایت اول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_Toc427654980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5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81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_Toc427654981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5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82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پاسخ از مناقشه فوق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_Toc427654982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5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2FD5" w:rsidP="000E1CD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4983" w:history="1">
        <w:r w:rsidR="000E1CD9" w:rsidRPr="001D003A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0E1CD9" w:rsidRPr="001D003A">
          <w:rPr>
            <w:rFonts w:ascii="IRBadr" w:hAnsi="IRBadr" w:cs="IRBadr"/>
            <w:noProof/>
            <w:webHidden/>
          </w:rPr>
          <w:tab/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E1CD9" w:rsidRPr="001D003A">
          <w:rPr>
            <w:rFonts w:ascii="IRBadr" w:hAnsi="IRBadr" w:cs="IRBadr"/>
            <w:noProof/>
            <w:webHidden/>
          </w:rPr>
          <w:instrText xml:space="preserve"> PAGEREF _Toc427654983 \h </w:instrText>
        </w:r>
        <w:r w:rsidR="000E1CD9" w:rsidRPr="001D003A">
          <w:rPr>
            <w:rStyle w:val="Hyperlink"/>
            <w:rFonts w:ascii="IRBadr" w:hAnsi="IRBadr" w:cs="IRBadr"/>
            <w:noProof/>
            <w:rtl/>
          </w:rPr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E1CD9" w:rsidRPr="001D003A">
          <w:rPr>
            <w:rFonts w:ascii="IRBadr" w:hAnsi="IRBadr" w:cs="IRBadr"/>
            <w:noProof/>
            <w:webHidden/>
          </w:rPr>
          <w:t>6</w:t>
        </w:r>
        <w:r w:rsidR="000E1CD9" w:rsidRPr="001D003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E1CD9" w:rsidRPr="001D003A" w:rsidRDefault="000E1CD9" w:rsidP="000E1C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C713C" w:rsidRPr="001D003A" w:rsidRDefault="001C713C" w:rsidP="0091442E">
      <w:pPr>
        <w:pStyle w:val="Heading1"/>
        <w:rPr>
          <w:rFonts w:ascii="IRBadr" w:hAnsi="IRBadr" w:cs="IRBadr"/>
          <w:rtl/>
        </w:rPr>
      </w:pPr>
      <w:bookmarkStart w:id="1" w:name="_Toc427654964"/>
      <w:r w:rsidRPr="001D003A">
        <w:rPr>
          <w:rFonts w:ascii="IRBadr" w:hAnsi="IRBadr" w:cs="IRBadr"/>
          <w:rtl/>
        </w:rPr>
        <w:lastRenderedPageBreak/>
        <w:t>حد سرقت</w:t>
      </w:r>
      <w:bookmarkEnd w:id="1"/>
    </w:p>
    <w:p w:rsidR="001C713C" w:rsidRPr="001D003A" w:rsidRDefault="001C713C" w:rsidP="0091442E">
      <w:pPr>
        <w:pStyle w:val="Heading1"/>
        <w:rPr>
          <w:rFonts w:ascii="IRBadr" w:hAnsi="IRBadr" w:cs="IRBadr"/>
          <w:rtl/>
        </w:rPr>
      </w:pPr>
      <w:bookmarkStart w:id="2" w:name="_Toc427654965"/>
      <w:r w:rsidRPr="001D003A">
        <w:rPr>
          <w:rFonts w:ascii="IRBadr" w:hAnsi="IRBadr" w:cs="IRBadr"/>
          <w:rtl/>
        </w:rPr>
        <w:t>مرور بحث پیشین</w:t>
      </w:r>
      <w:bookmarkEnd w:id="2"/>
    </w:p>
    <w:p w:rsidR="001C713C" w:rsidRPr="001D003A" w:rsidRDefault="00655A43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هفتمی که در قبال کیفیت حد سارق مطرح شد،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بود که اگر فرد در زیر حد جان خود را از دست داد،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مجری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و حاکم در این زمینه ضمانتی ندارند،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امر مورد اتفاق بوده و دو </w:t>
      </w:r>
      <w:r w:rsidR="00140A15" w:rsidRPr="001D003A">
        <w:rPr>
          <w:rFonts w:ascii="IRBadr" w:hAnsi="IRBadr" w:cs="IRBadr"/>
          <w:sz w:val="28"/>
          <w:szCs w:val="28"/>
          <w:rtl/>
          <w:lang w:bidi="fa-IR"/>
        </w:rPr>
        <w:t>صحیح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در این زمینه بود که دلالت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کسی که حد منجر به کشته شدن او شود،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دیه‌ای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برای او وجود ندارد.</w:t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که مشخص است این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غیر از اشتباه قاضی است، چراکه اینجا بحث این است که حکم درست بوده و مجری نیز طبق قانون و قاعده شرعی اقدام کرده است.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اگر قتل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به‌عمد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یا از روی تقصیر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واقع‌شده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باشد در اینجا باید دیه قرار داده شود.</w:t>
      </w:r>
    </w:p>
    <w:p w:rsidR="001C713C" w:rsidRPr="001D003A" w:rsidRDefault="001C713C" w:rsidP="0091442E">
      <w:pPr>
        <w:pStyle w:val="Heading2"/>
        <w:rPr>
          <w:rFonts w:ascii="IRBadr" w:hAnsi="IRBadr" w:cs="IRBadr"/>
          <w:rtl/>
        </w:rPr>
      </w:pPr>
      <w:bookmarkStart w:id="3" w:name="_Toc427654966"/>
      <w:r w:rsidRPr="001D003A">
        <w:rPr>
          <w:rFonts w:ascii="IRBadr" w:hAnsi="IRBadr" w:cs="IRBadr"/>
          <w:rtl/>
        </w:rPr>
        <w:t>روایات قائل به دیه</w:t>
      </w:r>
      <w:bookmarkEnd w:id="3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بنابراین این امر مورد وفاق خاصه و عامه است، گرچه دو روایت در همان باب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بیست‌وچهار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از ابواب قصاص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که هر دو روایت ضعیفی است.</w:t>
      </w:r>
    </w:p>
    <w:p w:rsidR="001C713C" w:rsidRPr="001D003A" w:rsidRDefault="001C713C" w:rsidP="0091442E">
      <w:pPr>
        <w:pStyle w:val="Heading2"/>
        <w:rPr>
          <w:rFonts w:ascii="IRBadr" w:hAnsi="IRBadr" w:cs="IRBadr"/>
          <w:rtl/>
        </w:rPr>
      </w:pPr>
      <w:bookmarkStart w:id="4" w:name="_Toc427654967"/>
      <w:r w:rsidRPr="001D003A">
        <w:rPr>
          <w:rFonts w:ascii="IRBadr" w:hAnsi="IRBadr" w:cs="IRBadr"/>
          <w:rtl/>
        </w:rPr>
        <w:t>روایت اول</w:t>
      </w:r>
      <w:bookmarkEnd w:id="4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یکی روایت حسن بن صالح ثوری است که؛</w:t>
      </w:r>
    </w:p>
    <w:p w:rsidR="001C713C" w:rsidRPr="001D003A" w:rsidRDefault="001C713C" w:rsidP="001C713C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عَنِ ابْنِ مَحْبُوبٍ عَنِ الْحَسَنِ بْنِ صَالِحٍ الثَّوْرِ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عَلِ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 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 مَنْ ضَرَبْنَاهُ حَدّاً مِنْ حُدُودِ اللَّهِ فَمَاتَ فَلَا دِ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ةَ لَهُ عَلَ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 وَ مَنْ ضَرَبْنَاهُ حَدّاً فِ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شَ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مِنْ حُقُوقِ النَّاسِ فَمَاتَ فَإِنَّ دِ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تَهُ عَلَ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نَا.»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که در این روایت نسبت به دیه در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تفصیلی قائل شده است.</w:t>
      </w:r>
    </w:p>
    <w:p w:rsidR="001C713C" w:rsidRPr="001D003A" w:rsidRDefault="001C713C" w:rsidP="0091442E">
      <w:pPr>
        <w:pStyle w:val="Heading2"/>
        <w:rPr>
          <w:rFonts w:ascii="IRBadr" w:hAnsi="IRBadr" w:cs="IRBadr"/>
          <w:rtl/>
        </w:rPr>
      </w:pPr>
      <w:bookmarkStart w:id="5" w:name="_Toc427654968"/>
      <w:r w:rsidRPr="001D003A">
        <w:rPr>
          <w:rFonts w:ascii="IRBadr" w:hAnsi="IRBadr" w:cs="IRBadr"/>
          <w:rtl/>
        </w:rPr>
        <w:lastRenderedPageBreak/>
        <w:t>رو</w:t>
      </w:r>
      <w:r w:rsidR="0091442E" w:rsidRPr="001D003A">
        <w:rPr>
          <w:rFonts w:ascii="IRBadr" w:hAnsi="IRBadr" w:cs="IRBadr"/>
          <w:rtl/>
        </w:rPr>
        <w:t>ایت دوم</w:t>
      </w:r>
      <w:bookmarkEnd w:id="5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دیگری نیز روایت مرسله صدوق است که؛</w:t>
      </w:r>
    </w:p>
    <w:p w:rsidR="001C713C" w:rsidRPr="001D003A" w:rsidRDefault="001C713C" w:rsidP="001C713C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قَالَ الصَّادِقُ ع مَنْ ضَرَبْنَاهُ حَدّاً مِنْ حُدُودِ اللَّهِ فَمَاتَ فَلَا دِ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ةَ لَهُ عَلَ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 وَ مَنْ ضَرَبْنَاهُ حَدّاً مِنْ حُدُودِ النَّاسِ فَمَاتَ فَإِنَّ دِ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تَهُ عَلَ</w:t>
      </w:r>
      <w:r w:rsidR="003168E9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نَا»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1C713C" w:rsidRPr="001D003A" w:rsidRDefault="001C713C" w:rsidP="0091442E">
      <w:pPr>
        <w:pStyle w:val="Heading2"/>
        <w:rPr>
          <w:rFonts w:ascii="IRBadr" w:hAnsi="IRBadr" w:cs="IRBadr"/>
          <w:rtl/>
        </w:rPr>
      </w:pPr>
      <w:bookmarkStart w:id="6" w:name="_Toc427654969"/>
      <w:r w:rsidRPr="001D003A">
        <w:rPr>
          <w:rFonts w:ascii="IRBadr" w:hAnsi="IRBadr" w:cs="IRBadr"/>
          <w:rtl/>
        </w:rPr>
        <w:t>مرسلات شیخ صدوق</w:t>
      </w:r>
      <w:bookmarkEnd w:id="6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سابقاً گفته شد که در قبال مرسلات شیخ صدوق چند نظریه وجود دارد؛</w:t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یک قول این است که روایاتی که شیخ صدوق نقل می‌کند معتبر است، این قول به استناد آنچه است که ایشان در مقدمه کتاب من لا یحضر فرمودند و بعضی از آن برداشت کردند که ایشان همه این روات را توثیق می‌کند.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دوم در این زمینه این است که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نسبت به مقدمه ایشان توثیقی کلی به دست آورد یا اگر استفاده شود نیز فاقد حجیت است،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سایر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روایات ایشان نیز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یک‌به‌یک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قرار گیرد.</w:t>
      </w:r>
    </w:p>
    <w:p w:rsidR="001C713C" w:rsidRPr="001D003A" w:rsidRDefault="001C713C" w:rsidP="0091442E">
      <w:pPr>
        <w:pStyle w:val="Heading2"/>
        <w:rPr>
          <w:rFonts w:ascii="IRBadr" w:hAnsi="IRBadr" w:cs="IRBadr"/>
          <w:rtl/>
        </w:rPr>
      </w:pPr>
      <w:bookmarkStart w:id="7" w:name="_Toc427654970"/>
      <w:r w:rsidRPr="001D003A">
        <w:rPr>
          <w:rFonts w:ascii="IRBadr" w:hAnsi="IRBadr" w:cs="IRBadr"/>
          <w:rtl/>
        </w:rPr>
        <w:t xml:space="preserve">قول </w:t>
      </w:r>
      <w:r w:rsidR="00655A43" w:rsidRPr="001D003A">
        <w:rPr>
          <w:rFonts w:ascii="IRBadr" w:hAnsi="IRBadr" w:cs="IRBadr"/>
          <w:rtl/>
        </w:rPr>
        <w:t>به‌تفصیل</w:t>
      </w:r>
      <w:bookmarkEnd w:id="7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قول به تفصیلی نیز در این میان وجود دارد که آقای بروجردی فرموده است و آقای فاضل نیز آن را قبول نموده است که روایت مرحوم صدوق دو گونه است؛</w:t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در من لا یحضر گاهی تعبیر این است که این روایت روی عن الصادق (ع) یا روی عن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الباقر (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ع)، ولی گاهی است به شکل مجهول نیست و می‌گوید: قال الصادق </w:t>
      </w:r>
      <w:r w:rsidR="00A43810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جزمی نسبت می‌دهد. بین این دو خیلی تفاوت است و مرحوم آقای بروجردی می‌فرمودند؛ مرسلاتی که با صیغه مجهول به امام نسبت داده شود، اعتبار ندارد، اما اگر می‌گوید: قال الصادق (ع) جزمی از ناحیه ایشان در این نسبت وجود دارد و این معتبر است.</w:t>
      </w:r>
    </w:p>
    <w:p w:rsidR="001C713C" w:rsidRPr="001D003A" w:rsidRDefault="001C713C" w:rsidP="0091442E">
      <w:pPr>
        <w:pStyle w:val="Heading3"/>
        <w:rPr>
          <w:rFonts w:ascii="IRBadr" w:hAnsi="IRBadr" w:cs="IRBadr"/>
          <w:rtl/>
        </w:rPr>
      </w:pPr>
      <w:bookmarkStart w:id="8" w:name="_Toc427654971"/>
      <w:r w:rsidRPr="001D003A">
        <w:rPr>
          <w:rFonts w:ascii="IRBadr" w:hAnsi="IRBadr" w:cs="IRBadr"/>
          <w:rtl/>
        </w:rPr>
        <w:lastRenderedPageBreak/>
        <w:t>ترتیب تحول تاریخی روایات شیعه</w:t>
      </w:r>
      <w:bookmarkEnd w:id="8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A43810">
        <w:rPr>
          <w:rFonts w:ascii="IRBadr" w:hAnsi="IRBadr" w:cs="IRBadr"/>
          <w:sz w:val="28"/>
          <w:szCs w:val="28"/>
          <w:rtl/>
          <w:lang w:bidi="fa-IR"/>
        </w:rPr>
        <w:t>اوایل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روایات در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جزوه‌هایی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پراکنده بود که اصول اربعه م</w:t>
      </w:r>
      <w:r w:rsidR="00A43810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ئة از همین قبیل بوده است،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اولین مرحله تدوین حدیث در شیعه بوده است که حدود دو قرن ادامه داشت،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مرحله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بعد از اصول اربعه </w:t>
      </w:r>
      <w:r w:rsidR="00A43810">
        <w:rPr>
          <w:rFonts w:ascii="IRBadr" w:hAnsi="IRBadr" w:cs="IRBadr"/>
          <w:sz w:val="28"/>
          <w:szCs w:val="28"/>
          <w:rtl/>
          <w:lang w:bidi="fa-IR"/>
        </w:rPr>
        <w:t>مائة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تدوین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کتب اربعه است،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 میان اصول کافی،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لایحضره الفقیه و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تهذیب و استبصار مرحوم شیخ نگاشته شده است.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در مرحله دوم احادیث متفرق به انتظامی رسید و از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پراکندگی‌ها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نجات پیدا کرد.</w:t>
      </w:r>
    </w:p>
    <w:p w:rsidR="001C713C" w:rsidRPr="001D003A" w:rsidRDefault="001C713C" w:rsidP="0091442E">
      <w:pPr>
        <w:pStyle w:val="Heading3"/>
        <w:rPr>
          <w:rFonts w:ascii="IRBadr" w:hAnsi="IRBadr" w:cs="IRBadr"/>
          <w:rtl/>
        </w:rPr>
      </w:pPr>
      <w:bookmarkStart w:id="9" w:name="_Toc427654972"/>
      <w:r w:rsidRPr="001D003A">
        <w:rPr>
          <w:rFonts w:ascii="IRBadr" w:hAnsi="IRBadr" w:cs="IRBadr"/>
          <w:rtl/>
        </w:rPr>
        <w:t>مرحله سوم و چهارم حدیثی</w:t>
      </w:r>
      <w:bookmarkEnd w:id="9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مرحله سوم تدوین مجامع روایی است که کتب اربعه را در خود جای دادند و کتبی مانند وافی و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وسایل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تدوین شد،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خصوصیت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 مرحله این بوده که بین کتب اربعه </w:t>
      </w:r>
      <w:r w:rsidR="00A43810">
        <w:rPr>
          <w:rFonts w:ascii="IRBadr" w:hAnsi="IRBadr" w:cs="IRBadr"/>
          <w:sz w:val="28"/>
          <w:szCs w:val="28"/>
          <w:rtl/>
          <w:lang w:bidi="fa-IR"/>
        </w:rPr>
        <w:t>مائة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رابطه عموم و خصوص من وجه برقرار است و این کتب آن را تجمیع نمودند.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بر اینکه تبویب و تنظیم بهتری در قبال کتب صورت پذیرفت.</w:t>
      </w:r>
    </w:p>
    <w:p w:rsidR="0091442E" w:rsidRPr="001D003A" w:rsidRDefault="001C713C" w:rsidP="0091442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در مرحله چهارم کتبی مانند بحار ظهور پیدا کرد،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 کتاب که در حقیقت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دایرة‌المعارفی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است تلاش شد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هیچ‌چیز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از روایات جا نیفتد.</w:t>
      </w:r>
    </w:p>
    <w:p w:rsidR="001C713C" w:rsidRPr="001D003A" w:rsidRDefault="001C713C" w:rsidP="0091442E">
      <w:pPr>
        <w:pStyle w:val="Heading3"/>
        <w:rPr>
          <w:rFonts w:ascii="IRBadr" w:hAnsi="IRBadr" w:cs="IRBadr"/>
          <w:rtl/>
        </w:rPr>
      </w:pPr>
      <w:bookmarkStart w:id="10" w:name="_Toc427654973"/>
      <w:r w:rsidRPr="001D003A">
        <w:rPr>
          <w:rFonts w:ascii="IRBadr" w:hAnsi="IRBadr" w:cs="IRBadr"/>
          <w:rtl/>
        </w:rPr>
        <w:t>مرحله امروزی</w:t>
      </w:r>
      <w:bookmarkEnd w:id="10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امروز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مرحله پنجم در حال تحقق است و معاجم حدیثی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جامع‌تر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نرم‌افزارها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به روی کار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آمده‌اند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C713C" w:rsidRPr="00A43810" w:rsidRDefault="001C713C" w:rsidP="00A43810">
      <w:pPr>
        <w:pStyle w:val="Heading4"/>
        <w:rPr>
          <w:rtl/>
        </w:rPr>
      </w:pPr>
      <w:bookmarkStart w:id="11" w:name="_Toc427654974"/>
      <w:r w:rsidRPr="00A43810">
        <w:rPr>
          <w:rtl/>
        </w:rPr>
        <w:t>لواحق بحث</w:t>
      </w:r>
      <w:bookmarkEnd w:id="11"/>
    </w:p>
    <w:p w:rsidR="001C713C" w:rsidRPr="001D003A" w:rsidRDefault="001C713C" w:rsidP="00A43810">
      <w:pPr>
        <w:pStyle w:val="Heading4"/>
        <w:rPr>
          <w:rtl/>
        </w:rPr>
      </w:pPr>
      <w:bookmarkStart w:id="12" w:name="_Toc427654975"/>
      <w:r w:rsidRPr="001D003A">
        <w:rPr>
          <w:rtl/>
        </w:rPr>
        <w:t>سرقت مشترک</w:t>
      </w:r>
      <w:bookmarkEnd w:id="12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مسئله اول این است؛</w:t>
      </w:r>
    </w:p>
    <w:p w:rsidR="001C713C" w:rsidRPr="001D003A" w:rsidRDefault="003168E9" w:rsidP="001C713C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لو سرق اثنان نصاباً أو أ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ثر بما لا 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بلغ نص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ب 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لّ منهما نصاباً، فهل 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قطع 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لّ واحد منهما أو لا 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قطع واحد منهما؟ الأشبه الثان</w:t>
      </w:r>
      <w:r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="001C713C" w:rsidRPr="001D003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این مسئله مربوط به این است که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اگرچند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نفر مشترکاً دست به سرقت بزنند و واجد شرایط سرقت هستند،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شرایط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چندگانه‌ای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که در بحث سابق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در اینجا هر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دودست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یا خیر؟ در این زمینه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اختلاف‌نظر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در این قسم باز اقسام دیگری وجود دارد و ممکن است که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مستقلاً مال را بردارند،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مقداری را سرقت نموده که به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حدنصاب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رسیده است،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صورت محل بحث نیست،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قطعاً در اینجا حد جاری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C713C" w:rsidRPr="001D003A" w:rsidRDefault="001C713C" w:rsidP="00A43810">
      <w:pPr>
        <w:pStyle w:val="Heading4"/>
        <w:rPr>
          <w:rtl/>
        </w:rPr>
      </w:pPr>
      <w:bookmarkStart w:id="13" w:name="_Toc427654976"/>
      <w:r w:rsidRPr="001D003A">
        <w:rPr>
          <w:rtl/>
        </w:rPr>
        <w:t>تنقیح بحث</w:t>
      </w:r>
      <w:bookmarkEnd w:id="13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موضوع بحث در مقامی است که دو فرد مالی را مشترکاً سرقت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و مال مسروق توسط هر دو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روی‌هم‌رفته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به مقدار نصاب رسیده است.</w:t>
      </w:r>
    </w:p>
    <w:p w:rsidR="001C713C" w:rsidRPr="001D003A" w:rsidRDefault="001C713C" w:rsidP="00A43810">
      <w:pPr>
        <w:pStyle w:val="Heading4"/>
        <w:rPr>
          <w:rtl/>
        </w:rPr>
      </w:pPr>
      <w:bookmarkStart w:id="14" w:name="_Toc427654977"/>
      <w:r w:rsidRPr="001D003A">
        <w:rPr>
          <w:rtl/>
        </w:rPr>
        <w:t>اقوال در این باب</w:t>
      </w:r>
      <w:bookmarkEnd w:id="14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در این زمینه دو قول وجود دارد؛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میان متقدمین شهرت بر وجوب قطع و جریان حد است که به مرحوم مفید، سید مرتضی، شیخ در نهایه </w:t>
      </w:r>
      <w:r w:rsidR="00140A15" w:rsidRPr="001D003A">
        <w:rPr>
          <w:rFonts w:ascii="IRBadr" w:hAnsi="IRBadr" w:cs="IRBadr"/>
          <w:sz w:val="28"/>
          <w:szCs w:val="28"/>
          <w:rtl/>
          <w:lang w:bidi="fa-IR"/>
        </w:rPr>
        <w:t>وعده‌ای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دیگر از بزرگان نسبت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قول دوم که شیخ در مبسوط و خلاف،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ابن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جنید،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ابن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ادریس و علامه بدان قائل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است که قطع صورت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.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قول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قول سابق رواج بیشتری در بین متأخرین دارد.</w:t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در میان عامه نیز دو قول وجود دارد و مالک،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سوری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ابی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حنیفه،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شافعی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و اسحاق قائل به عدم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قطع‌شده‌اند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C713C" w:rsidRPr="001D003A" w:rsidRDefault="001C713C" w:rsidP="00A43810">
      <w:pPr>
        <w:pStyle w:val="Heading4"/>
        <w:rPr>
          <w:rtl/>
        </w:rPr>
      </w:pPr>
      <w:bookmarkStart w:id="15" w:name="_Toc427654978"/>
      <w:r w:rsidRPr="001D003A">
        <w:rPr>
          <w:rtl/>
        </w:rPr>
        <w:t>مستندات بحث</w:t>
      </w:r>
      <w:bookmarkEnd w:id="15"/>
    </w:p>
    <w:p w:rsidR="001C713C" w:rsidRPr="001D003A" w:rsidRDefault="001C713C" w:rsidP="00A43810">
      <w:pPr>
        <w:pStyle w:val="Heading4"/>
        <w:rPr>
          <w:rtl/>
        </w:rPr>
      </w:pPr>
      <w:bookmarkStart w:id="16" w:name="_Toc427654979"/>
      <w:r w:rsidRPr="001D003A">
        <w:rPr>
          <w:rtl/>
        </w:rPr>
        <w:t>مستند قطع</w:t>
      </w:r>
      <w:bookmarkEnd w:id="16"/>
    </w:p>
    <w:p w:rsidR="001C713C" w:rsidRPr="001D003A" w:rsidRDefault="001C713C" w:rsidP="00A43810">
      <w:pPr>
        <w:pStyle w:val="Heading4"/>
        <w:rPr>
          <w:rtl/>
        </w:rPr>
      </w:pPr>
      <w:bookmarkStart w:id="17" w:name="_Toc427654980"/>
      <w:r w:rsidRPr="001D003A">
        <w:rPr>
          <w:rtl/>
        </w:rPr>
        <w:t>روایت اول</w:t>
      </w:r>
      <w:bookmarkEnd w:id="17"/>
    </w:p>
    <w:p w:rsidR="001C713C" w:rsidRPr="001D003A" w:rsidRDefault="0091442E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اولی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ن دلیل قطع روایتی است در ابواب حد سرقت، باب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سی‌وچهار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از این روایت تعبیر به صحیحه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در قبال محمد بن عیسی همان چند قول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روایت معتبره است.</w:t>
      </w:r>
    </w:p>
    <w:p w:rsidR="001C713C" w:rsidRPr="001D003A" w:rsidRDefault="001C713C" w:rsidP="00A43810">
      <w:pPr>
        <w:pStyle w:val="Heading4"/>
        <w:rPr>
          <w:rtl/>
        </w:rPr>
      </w:pPr>
      <w:bookmarkStart w:id="18" w:name="_Toc427654981"/>
      <w:r w:rsidRPr="001D003A">
        <w:rPr>
          <w:rtl/>
        </w:rPr>
        <w:t>مناقشه در استدلال فوق</w:t>
      </w:r>
      <w:bookmarkEnd w:id="18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>در اینجا حد بر نحر مترتب شده است،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آنکه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نحر کرده در ثبوت قطع دخالت ندارد بلکه آنچه دخالت دارد،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ثبوت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سرقت است.</w:t>
      </w:r>
    </w:p>
    <w:p w:rsidR="001C713C" w:rsidRPr="001D003A" w:rsidRDefault="001C713C" w:rsidP="00A43810">
      <w:pPr>
        <w:pStyle w:val="Heading4"/>
        <w:rPr>
          <w:rtl/>
        </w:rPr>
      </w:pPr>
      <w:bookmarkStart w:id="19" w:name="_Toc427654982"/>
      <w:r w:rsidRPr="001D003A">
        <w:rPr>
          <w:rtl/>
        </w:rPr>
        <w:t>پاسخ از مناقشه فوق</w:t>
      </w:r>
      <w:bookmarkEnd w:id="19"/>
    </w:p>
    <w:p w:rsidR="001C713C" w:rsidRPr="001D003A" w:rsidRDefault="003168E9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lastRenderedPageBreak/>
        <w:t>می‌توان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از این اشکال بدین نحو جواب داد که حکم بر نحر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متوقف‌شده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ظاهر قصه که نشان 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نحر بر سرقت معلق شده است.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خود نحر در اینجا عرفاً هتک حرز است.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اشکال دیگر باقی 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می‌ماند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که چرا حکم را معلق 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کرده‌اند 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بر اینکه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 xml:space="preserve"> نحر 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1C713C" w:rsidRPr="001D00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C713C" w:rsidRPr="001D003A" w:rsidRDefault="001C713C" w:rsidP="00A43810">
      <w:pPr>
        <w:pStyle w:val="Heading4"/>
        <w:rPr>
          <w:rtl/>
        </w:rPr>
      </w:pPr>
      <w:bookmarkStart w:id="20" w:name="_Toc427654983"/>
      <w:r w:rsidRPr="001D003A">
        <w:rPr>
          <w:rtl/>
        </w:rPr>
        <w:t>اتخاذ مبنا</w:t>
      </w:r>
      <w:bookmarkEnd w:id="20"/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اما در حقیقت این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پاسخ‌ها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اقناع‌کننده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نیستند چراکه هتک یک مرحله قبل اتفاق افتاده و این داشتان،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قضیه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فی الواقعه است.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بر اینکه در اینجا قاعده درع نیز بدین امر دلالت دارد.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A43" w:rsidRPr="001D003A"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اتقان سندی روایت در دلالت آن اضطرابی وجود دارد که </w:t>
      </w:r>
      <w:r w:rsidR="003168E9" w:rsidRPr="001D00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1D003A">
        <w:rPr>
          <w:rFonts w:ascii="IRBadr" w:hAnsi="IRBadr" w:cs="IRBadr"/>
          <w:sz w:val="28"/>
          <w:szCs w:val="28"/>
          <w:rtl/>
          <w:lang w:bidi="fa-IR"/>
        </w:rPr>
        <w:t xml:space="preserve"> بدان عمل نمود.</w:t>
      </w: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C713C" w:rsidRPr="001D003A" w:rsidRDefault="001C713C" w:rsidP="001C71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C713C" w:rsidRPr="001D003A" w:rsidRDefault="001C713C" w:rsidP="001C713C">
      <w:pPr>
        <w:bidi/>
        <w:rPr>
          <w:rFonts w:ascii="IRBadr" w:hAnsi="IRBadr" w:cs="IRBadr"/>
          <w:rtl/>
          <w:lang w:bidi="fa-IR"/>
        </w:rPr>
      </w:pPr>
    </w:p>
    <w:p w:rsidR="001C713C" w:rsidRPr="001D003A" w:rsidRDefault="001C713C" w:rsidP="001C713C">
      <w:pPr>
        <w:bidi/>
        <w:rPr>
          <w:rFonts w:ascii="IRBadr" w:hAnsi="IRBadr" w:cs="IRBadr"/>
          <w:rtl/>
          <w:lang w:bidi="fa-IR"/>
        </w:rPr>
      </w:pPr>
    </w:p>
    <w:p w:rsidR="00152670" w:rsidRPr="001D003A" w:rsidRDefault="00152670" w:rsidP="001C713C">
      <w:pPr>
        <w:bidi/>
        <w:rPr>
          <w:rFonts w:ascii="IRBadr" w:hAnsi="IRBadr" w:cs="IRBadr"/>
          <w:rtl/>
          <w:lang w:bidi="fa-IR"/>
        </w:rPr>
      </w:pPr>
    </w:p>
    <w:p w:rsidR="000E1CD9" w:rsidRPr="001D003A" w:rsidRDefault="000E1CD9">
      <w:pPr>
        <w:bidi/>
        <w:rPr>
          <w:rFonts w:ascii="IRBadr" w:hAnsi="IRBadr" w:cs="IRBadr"/>
          <w:lang w:bidi="fa-IR"/>
        </w:rPr>
      </w:pPr>
    </w:p>
    <w:sectPr w:rsidR="000E1CD9" w:rsidRPr="001D003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D5" w:rsidRDefault="000E2FD5" w:rsidP="000D5800">
      <w:pPr>
        <w:spacing w:after="0" w:line="240" w:lineRule="auto"/>
      </w:pPr>
      <w:r>
        <w:separator/>
      </w:r>
    </w:p>
  </w:endnote>
  <w:endnote w:type="continuationSeparator" w:id="0">
    <w:p w:rsidR="000E2FD5" w:rsidRDefault="000E2FD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D5" w:rsidRDefault="000E2FD5" w:rsidP="000E1CD9">
      <w:pPr>
        <w:bidi/>
        <w:spacing w:after="0" w:line="240" w:lineRule="auto"/>
      </w:pPr>
      <w:r>
        <w:separator/>
      </w:r>
    </w:p>
  </w:footnote>
  <w:footnote w:type="continuationSeparator" w:id="0">
    <w:p w:rsidR="000E2FD5" w:rsidRDefault="000E2FD5" w:rsidP="000D5800">
      <w:pPr>
        <w:spacing w:after="0" w:line="240" w:lineRule="auto"/>
      </w:pPr>
      <w:r>
        <w:continuationSeparator/>
      </w:r>
    </w:p>
  </w:footnote>
  <w:footnote w:id="1">
    <w:p w:rsidR="001C713C" w:rsidRDefault="001C713C" w:rsidP="001C713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4568D">
        <w:rPr>
          <w:rFonts w:ascii="Noor_Titr" w:hAnsi="Noor_Titr" w:cs="B Badr" w:hint="cs"/>
          <w:color w:val="000000" w:themeColor="text1"/>
          <w:rtl/>
        </w:rPr>
        <w:t>ال</w:t>
      </w:r>
      <w:r w:rsidR="003168E9">
        <w:rPr>
          <w:rFonts w:ascii="Noor_Titr" w:hAnsi="Noor_Titr" w:cs="B Badr" w:hint="cs"/>
          <w:color w:val="000000" w:themeColor="text1"/>
          <w:rtl/>
        </w:rPr>
        <w:t>ک</w:t>
      </w:r>
      <w:r w:rsidRPr="0024568D">
        <w:rPr>
          <w:rFonts w:ascii="Noor_Titr" w:hAnsi="Noor_Titr" w:cs="B Badr" w:hint="cs"/>
          <w:color w:val="000000" w:themeColor="text1"/>
          <w:rtl/>
        </w:rPr>
        <w:t>اف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3168E9">
        <w:rPr>
          <w:rFonts w:ascii="Noor_Titr" w:hAnsi="Noor_Titr" w:cs="B Badr"/>
          <w:color w:val="000000" w:themeColor="text1"/>
          <w:rtl/>
        </w:rPr>
        <w:t>ج 7</w:t>
      </w:r>
      <w:r w:rsidRPr="0024568D">
        <w:rPr>
          <w:rFonts w:ascii="Noor_Titr" w:hAnsi="Noor_Titr" w:cs="B Badr" w:hint="cs"/>
          <w:color w:val="000000" w:themeColor="text1"/>
          <w:rtl/>
        </w:rPr>
        <w:t>، ص: 292</w:t>
      </w:r>
    </w:p>
  </w:footnote>
  <w:footnote w:id="2">
    <w:p w:rsidR="001C713C" w:rsidRDefault="001C713C" w:rsidP="001C713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4568D">
        <w:rPr>
          <w:rFonts w:ascii="Noor_Titr" w:hAnsi="Noor_Titr" w:cs="B Badr" w:hint="cs"/>
          <w:color w:val="000000" w:themeColor="text1"/>
          <w:rtl/>
        </w:rPr>
        <w:t xml:space="preserve">من لا 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>حضره الفق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 xml:space="preserve">ه؛ </w:t>
      </w:r>
      <w:r w:rsidR="003168E9">
        <w:rPr>
          <w:rFonts w:ascii="Noor_Titr" w:hAnsi="Noor_Titr" w:cs="B Badr"/>
          <w:color w:val="000000" w:themeColor="text1"/>
          <w:rtl/>
        </w:rPr>
        <w:t>ج 4</w:t>
      </w:r>
      <w:r w:rsidRPr="0024568D">
        <w:rPr>
          <w:rFonts w:ascii="Noor_Titr" w:hAnsi="Noor_Titr" w:cs="B Badr" w:hint="cs"/>
          <w:color w:val="000000" w:themeColor="text1"/>
          <w:rtl/>
        </w:rPr>
        <w:t>، ص: 72</w:t>
      </w:r>
    </w:p>
  </w:footnote>
  <w:footnote w:id="3">
    <w:p w:rsidR="001C713C" w:rsidRDefault="001C713C" w:rsidP="001C713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4568D">
        <w:rPr>
          <w:rFonts w:ascii="Noor_Titr" w:hAnsi="Noor_Titr" w:cs="B Badr" w:hint="cs"/>
          <w:color w:val="000000" w:themeColor="text1"/>
          <w:rtl/>
        </w:rPr>
        <w:t>تفص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>ل الشر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>عة ف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 xml:space="preserve"> شرح تحر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>ر الوس</w:t>
      </w:r>
      <w:r w:rsidR="003168E9">
        <w:rPr>
          <w:rFonts w:ascii="Noor_Titr" w:hAnsi="Noor_Titr" w:cs="B Badr" w:hint="cs"/>
          <w:color w:val="000000" w:themeColor="text1"/>
          <w:rtl/>
        </w:rPr>
        <w:t>ی</w:t>
      </w:r>
      <w:r w:rsidRPr="0024568D">
        <w:rPr>
          <w:rFonts w:ascii="Noor_Titr" w:hAnsi="Noor_Titr" w:cs="B Badr" w:hint="cs"/>
          <w:color w:val="000000" w:themeColor="text1"/>
          <w:rtl/>
        </w:rPr>
        <w:t>لة - الحدود؛ ص: 613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1D003A" w:rsidRDefault="000D5800" w:rsidP="001D003A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653D609" wp14:editId="0947190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7DEF0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  <w:lang w:bidi="fa-IR"/>
      </w:rPr>
      <w:drawing>
        <wp:inline distT="0" distB="0" distL="0" distR="0" wp14:anchorId="0798ABEB" wp14:editId="0707FF9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C713C">
      <w:rPr>
        <w:rFonts w:ascii="IranNastaliq" w:hAnsi="IranNastaliq" w:cs="IranNastaliq" w:hint="cs"/>
        <w:sz w:val="40"/>
        <w:szCs w:val="40"/>
        <w:rtl/>
        <w:lang w:bidi="fa-IR"/>
      </w:rPr>
      <w:t>907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E1CD9"/>
    <w:rsid w:val="000E2FD5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40A15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C713C"/>
    <w:rsid w:val="001D003A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168E9"/>
    <w:rsid w:val="003275F0"/>
    <w:rsid w:val="00340BA3"/>
    <w:rsid w:val="00366400"/>
    <w:rsid w:val="0038135E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80BAB"/>
    <w:rsid w:val="00494DC0"/>
    <w:rsid w:val="00496073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C209B"/>
    <w:rsid w:val="005D4C11"/>
    <w:rsid w:val="005E6299"/>
    <w:rsid w:val="005F55FA"/>
    <w:rsid w:val="00610C18"/>
    <w:rsid w:val="00612385"/>
    <w:rsid w:val="0061376C"/>
    <w:rsid w:val="00620C1E"/>
    <w:rsid w:val="00632A97"/>
    <w:rsid w:val="00636EFA"/>
    <w:rsid w:val="00655A43"/>
    <w:rsid w:val="0066229C"/>
    <w:rsid w:val="006752CB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3400E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442E"/>
    <w:rsid w:val="00915509"/>
    <w:rsid w:val="00927388"/>
    <w:rsid w:val="009274FE"/>
    <w:rsid w:val="00931FC7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43810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5F46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3810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3810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3810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3810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9E8C-6511-472E-81FE-EF184A9F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184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61</cp:revision>
  <dcterms:created xsi:type="dcterms:W3CDTF">2014-12-20T10:23:00Z</dcterms:created>
  <dcterms:modified xsi:type="dcterms:W3CDTF">2015-08-18T08:01:00Z</dcterms:modified>
</cp:coreProperties>
</file>