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8B" w:rsidRDefault="00B37E8B" w:rsidP="00B37E8B">
      <w:pPr>
        <w:bidi/>
        <w:spacing w:line="360" w:lineRule="auto"/>
        <w:jc w:val="both"/>
        <w:rPr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D8062A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  <w:r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>
        <w:rPr>
          <w:rFonts w:ascii="IRBadr" w:hAnsi="IRBadr" w:cs="IRBadr"/>
          <w:sz w:val="28"/>
          <w:szCs w:val="28"/>
          <w:lang w:bidi="fa-IR"/>
        </w:rPr>
        <w:instrText>TOC</w:instrText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>
        <w:rPr>
          <w:rFonts w:ascii="IRBadr" w:hAnsi="IRBadr" w:cs="IRBadr"/>
          <w:sz w:val="28"/>
          <w:szCs w:val="28"/>
          <w:lang w:bidi="fa-IR"/>
        </w:rPr>
        <w:instrText>o "1-5" \h \z \u</w:instrText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B37E8B" w:rsidRDefault="00065F5A" w:rsidP="00B37E8B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7341" w:history="1">
        <w:r w:rsidR="00B37E8B" w:rsidRPr="00B53A38">
          <w:rPr>
            <w:rStyle w:val="Hyperlink"/>
            <w:rFonts w:hint="eastAsia"/>
            <w:noProof/>
            <w:rtl/>
          </w:rPr>
          <w:t>توقف</w:t>
        </w:r>
        <w:r w:rsidR="00B37E8B" w:rsidRPr="00B53A38">
          <w:rPr>
            <w:rStyle w:val="Hyperlink"/>
            <w:noProof/>
            <w:rtl/>
          </w:rPr>
          <w:t xml:space="preserve"> </w:t>
        </w:r>
        <w:r w:rsidR="00B37E8B" w:rsidRPr="00B53A38">
          <w:rPr>
            <w:rStyle w:val="Hyperlink"/>
            <w:rFonts w:hint="eastAsia"/>
            <w:noProof/>
            <w:rtl/>
          </w:rPr>
          <w:t>حد</w:t>
        </w:r>
        <w:r w:rsidR="00B37E8B" w:rsidRPr="00B53A38">
          <w:rPr>
            <w:rStyle w:val="Hyperlink"/>
            <w:noProof/>
            <w:rtl/>
          </w:rPr>
          <w:t xml:space="preserve"> </w:t>
        </w:r>
        <w:r w:rsidR="00B37E8B" w:rsidRPr="00B53A38">
          <w:rPr>
            <w:rStyle w:val="Hyperlink"/>
            <w:rFonts w:hint="eastAsia"/>
            <w:noProof/>
            <w:rtl/>
          </w:rPr>
          <w:t>سرقت</w:t>
        </w:r>
        <w:r w:rsidR="00B37E8B" w:rsidRPr="00B53A38">
          <w:rPr>
            <w:rStyle w:val="Hyperlink"/>
            <w:noProof/>
            <w:rtl/>
          </w:rPr>
          <w:t xml:space="preserve"> </w:t>
        </w:r>
        <w:r w:rsidR="00B37E8B" w:rsidRPr="00B53A38">
          <w:rPr>
            <w:rStyle w:val="Hyperlink"/>
            <w:rFonts w:hint="eastAsia"/>
            <w:noProof/>
            <w:rtl/>
          </w:rPr>
          <w:t>بر</w:t>
        </w:r>
        <w:r w:rsidR="00B37E8B" w:rsidRPr="00B53A38">
          <w:rPr>
            <w:rStyle w:val="Hyperlink"/>
            <w:noProof/>
            <w:rtl/>
          </w:rPr>
          <w:t xml:space="preserve"> </w:t>
        </w:r>
        <w:r w:rsidR="00B37E8B" w:rsidRPr="00B53A38">
          <w:rPr>
            <w:rStyle w:val="Hyperlink"/>
            <w:rFonts w:hint="eastAsia"/>
            <w:noProof/>
            <w:rtl/>
          </w:rPr>
          <w:t>مطالبه</w:t>
        </w:r>
        <w:r w:rsidR="00B37E8B" w:rsidRPr="00B53A38">
          <w:rPr>
            <w:rStyle w:val="Hyperlink"/>
            <w:noProof/>
            <w:rtl/>
          </w:rPr>
          <w:t xml:space="preserve"> </w:t>
        </w:r>
        <w:r w:rsidR="00B37E8B" w:rsidRPr="00B53A38">
          <w:rPr>
            <w:rStyle w:val="Hyperlink"/>
            <w:rFonts w:hint="eastAsia"/>
            <w:noProof/>
            <w:rtl/>
          </w:rPr>
          <w:t>مسروق</w:t>
        </w:r>
        <w:r w:rsidR="00B37E8B">
          <w:rPr>
            <w:noProof/>
            <w:webHidden/>
          </w:rPr>
          <w:tab/>
        </w:r>
        <w:r w:rsidR="00B37E8B">
          <w:rPr>
            <w:noProof/>
            <w:webHidden/>
          </w:rPr>
          <w:fldChar w:fldCharType="begin"/>
        </w:r>
        <w:r w:rsidR="00B37E8B">
          <w:rPr>
            <w:noProof/>
            <w:webHidden/>
          </w:rPr>
          <w:instrText xml:space="preserve"> PAGEREF _Toc432607341 \h </w:instrText>
        </w:r>
        <w:r w:rsidR="00B37E8B">
          <w:rPr>
            <w:noProof/>
            <w:webHidden/>
          </w:rPr>
        </w:r>
        <w:r w:rsidR="00B37E8B">
          <w:rPr>
            <w:noProof/>
            <w:webHidden/>
          </w:rPr>
          <w:fldChar w:fldCharType="separate"/>
        </w:r>
        <w:r w:rsidR="00B37E8B">
          <w:rPr>
            <w:noProof/>
            <w:webHidden/>
          </w:rPr>
          <w:t>2</w:t>
        </w:r>
        <w:r w:rsidR="00B37E8B">
          <w:rPr>
            <w:noProof/>
            <w:webHidden/>
          </w:rPr>
          <w:fldChar w:fldCharType="end"/>
        </w:r>
      </w:hyperlink>
    </w:p>
    <w:p w:rsidR="00B37E8B" w:rsidRDefault="00065F5A" w:rsidP="00B37E8B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7342" w:history="1">
        <w:r w:rsidR="00B37E8B" w:rsidRPr="00B53A38">
          <w:rPr>
            <w:rStyle w:val="Hyperlink"/>
            <w:rFonts w:hint="eastAsia"/>
            <w:noProof/>
            <w:rtl/>
          </w:rPr>
          <w:t>مرور</w:t>
        </w:r>
        <w:r w:rsidR="00B37E8B" w:rsidRPr="00B53A38">
          <w:rPr>
            <w:rStyle w:val="Hyperlink"/>
            <w:noProof/>
            <w:rtl/>
          </w:rPr>
          <w:t xml:space="preserve"> </w:t>
        </w:r>
        <w:r w:rsidR="00B37E8B" w:rsidRPr="00B53A38">
          <w:rPr>
            <w:rStyle w:val="Hyperlink"/>
            <w:rFonts w:hint="eastAsia"/>
            <w:noProof/>
            <w:rtl/>
          </w:rPr>
          <w:t>بحث</w:t>
        </w:r>
        <w:r w:rsidR="00B37E8B" w:rsidRPr="00B53A38">
          <w:rPr>
            <w:rStyle w:val="Hyperlink"/>
            <w:noProof/>
            <w:rtl/>
          </w:rPr>
          <w:t xml:space="preserve"> </w:t>
        </w:r>
        <w:r w:rsidR="00B37E8B" w:rsidRPr="00B53A38">
          <w:rPr>
            <w:rStyle w:val="Hyperlink"/>
            <w:rFonts w:hint="eastAsia"/>
            <w:noProof/>
            <w:rtl/>
          </w:rPr>
          <w:t>گذشته</w:t>
        </w:r>
        <w:r w:rsidR="00B37E8B">
          <w:rPr>
            <w:noProof/>
            <w:webHidden/>
          </w:rPr>
          <w:tab/>
        </w:r>
        <w:r w:rsidR="00B37E8B">
          <w:rPr>
            <w:noProof/>
            <w:webHidden/>
          </w:rPr>
          <w:fldChar w:fldCharType="begin"/>
        </w:r>
        <w:r w:rsidR="00B37E8B">
          <w:rPr>
            <w:noProof/>
            <w:webHidden/>
          </w:rPr>
          <w:instrText xml:space="preserve"> PAGEREF _Toc432607342 \h </w:instrText>
        </w:r>
        <w:r w:rsidR="00B37E8B">
          <w:rPr>
            <w:noProof/>
            <w:webHidden/>
          </w:rPr>
        </w:r>
        <w:r w:rsidR="00B37E8B">
          <w:rPr>
            <w:noProof/>
            <w:webHidden/>
          </w:rPr>
          <w:fldChar w:fldCharType="separate"/>
        </w:r>
        <w:r w:rsidR="00B37E8B">
          <w:rPr>
            <w:noProof/>
            <w:webHidden/>
          </w:rPr>
          <w:t>2</w:t>
        </w:r>
        <w:r w:rsidR="00B37E8B">
          <w:rPr>
            <w:noProof/>
            <w:webHidden/>
          </w:rPr>
          <w:fldChar w:fldCharType="end"/>
        </w:r>
      </w:hyperlink>
    </w:p>
    <w:p w:rsidR="00B37E8B" w:rsidRDefault="00065F5A" w:rsidP="00B37E8B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7343" w:history="1">
        <w:r w:rsidR="00B37E8B" w:rsidRPr="00B53A38">
          <w:rPr>
            <w:rStyle w:val="Hyperlink"/>
            <w:rFonts w:hint="eastAsia"/>
            <w:noProof/>
            <w:rtl/>
          </w:rPr>
          <w:t>اقوال</w:t>
        </w:r>
        <w:r w:rsidR="00B37E8B" w:rsidRPr="00B53A38">
          <w:rPr>
            <w:rStyle w:val="Hyperlink"/>
            <w:noProof/>
            <w:rtl/>
          </w:rPr>
          <w:t xml:space="preserve"> </w:t>
        </w:r>
        <w:r w:rsidR="00B37E8B" w:rsidRPr="00B53A38">
          <w:rPr>
            <w:rStyle w:val="Hyperlink"/>
            <w:rFonts w:hint="eastAsia"/>
            <w:noProof/>
            <w:rtl/>
          </w:rPr>
          <w:t>در</w:t>
        </w:r>
        <w:r w:rsidR="00B37E8B" w:rsidRPr="00B53A38">
          <w:rPr>
            <w:rStyle w:val="Hyperlink"/>
            <w:noProof/>
            <w:rtl/>
          </w:rPr>
          <w:t xml:space="preserve"> </w:t>
        </w:r>
        <w:r w:rsidR="00B37E8B" w:rsidRPr="00B53A38">
          <w:rPr>
            <w:rStyle w:val="Hyperlink"/>
            <w:rFonts w:hint="eastAsia"/>
            <w:noProof/>
            <w:rtl/>
          </w:rPr>
          <w:t>ا</w:t>
        </w:r>
        <w:r w:rsidR="00B37E8B" w:rsidRPr="00B53A38">
          <w:rPr>
            <w:rStyle w:val="Hyperlink"/>
            <w:rFonts w:hint="cs"/>
            <w:noProof/>
            <w:rtl/>
          </w:rPr>
          <w:t>ی</w:t>
        </w:r>
        <w:r w:rsidR="00B37E8B" w:rsidRPr="00B53A38">
          <w:rPr>
            <w:rStyle w:val="Hyperlink"/>
            <w:rFonts w:hint="eastAsia"/>
            <w:noProof/>
            <w:rtl/>
          </w:rPr>
          <w:t>ن</w:t>
        </w:r>
        <w:r w:rsidR="00B37E8B" w:rsidRPr="00B53A38">
          <w:rPr>
            <w:rStyle w:val="Hyperlink"/>
            <w:noProof/>
            <w:rtl/>
          </w:rPr>
          <w:t xml:space="preserve"> </w:t>
        </w:r>
        <w:r w:rsidR="00B37E8B" w:rsidRPr="00B53A38">
          <w:rPr>
            <w:rStyle w:val="Hyperlink"/>
            <w:rFonts w:hint="eastAsia"/>
            <w:noProof/>
            <w:rtl/>
          </w:rPr>
          <w:t>مسأله</w:t>
        </w:r>
        <w:r w:rsidR="00B37E8B">
          <w:rPr>
            <w:noProof/>
            <w:webHidden/>
          </w:rPr>
          <w:tab/>
        </w:r>
        <w:r w:rsidR="00B37E8B">
          <w:rPr>
            <w:noProof/>
            <w:webHidden/>
          </w:rPr>
          <w:fldChar w:fldCharType="begin"/>
        </w:r>
        <w:r w:rsidR="00B37E8B">
          <w:rPr>
            <w:noProof/>
            <w:webHidden/>
          </w:rPr>
          <w:instrText xml:space="preserve"> PAGEREF _Toc432607343 \h </w:instrText>
        </w:r>
        <w:r w:rsidR="00B37E8B">
          <w:rPr>
            <w:noProof/>
            <w:webHidden/>
          </w:rPr>
        </w:r>
        <w:r w:rsidR="00B37E8B">
          <w:rPr>
            <w:noProof/>
            <w:webHidden/>
          </w:rPr>
          <w:fldChar w:fldCharType="separate"/>
        </w:r>
        <w:r w:rsidR="00B37E8B">
          <w:rPr>
            <w:noProof/>
            <w:webHidden/>
          </w:rPr>
          <w:t>2</w:t>
        </w:r>
        <w:r w:rsidR="00B37E8B">
          <w:rPr>
            <w:noProof/>
            <w:webHidden/>
          </w:rPr>
          <w:fldChar w:fldCharType="end"/>
        </w:r>
      </w:hyperlink>
    </w:p>
    <w:p w:rsidR="00B37E8B" w:rsidRDefault="00065F5A" w:rsidP="00B37E8B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7344" w:history="1">
        <w:r w:rsidR="00B37E8B" w:rsidRPr="00B53A38">
          <w:rPr>
            <w:rStyle w:val="Hyperlink"/>
            <w:rFonts w:hint="eastAsia"/>
            <w:noProof/>
            <w:rtl/>
          </w:rPr>
          <w:t>اقوال</w:t>
        </w:r>
        <w:r w:rsidR="00B37E8B" w:rsidRPr="00B53A38">
          <w:rPr>
            <w:rStyle w:val="Hyperlink"/>
            <w:noProof/>
            <w:rtl/>
          </w:rPr>
          <w:t xml:space="preserve"> </w:t>
        </w:r>
        <w:r w:rsidR="00B37E8B" w:rsidRPr="00B53A38">
          <w:rPr>
            <w:rStyle w:val="Hyperlink"/>
            <w:rFonts w:hint="eastAsia"/>
            <w:noProof/>
            <w:rtl/>
          </w:rPr>
          <w:t>عامه</w:t>
        </w:r>
        <w:r w:rsidR="00B37E8B">
          <w:rPr>
            <w:noProof/>
            <w:webHidden/>
          </w:rPr>
          <w:tab/>
        </w:r>
        <w:r w:rsidR="00B37E8B">
          <w:rPr>
            <w:noProof/>
            <w:webHidden/>
          </w:rPr>
          <w:fldChar w:fldCharType="begin"/>
        </w:r>
        <w:r w:rsidR="00B37E8B">
          <w:rPr>
            <w:noProof/>
            <w:webHidden/>
          </w:rPr>
          <w:instrText xml:space="preserve"> PAGEREF _Toc432607344 \h </w:instrText>
        </w:r>
        <w:r w:rsidR="00B37E8B">
          <w:rPr>
            <w:noProof/>
            <w:webHidden/>
          </w:rPr>
        </w:r>
        <w:r w:rsidR="00B37E8B">
          <w:rPr>
            <w:noProof/>
            <w:webHidden/>
          </w:rPr>
          <w:fldChar w:fldCharType="separate"/>
        </w:r>
        <w:r w:rsidR="00B37E8B">
          <w:rPr>
            <w:noProof/>
            <w:webHidden/>
          </w:rPr>
          <w:t>2</w:t>
        </w:r>
        <w:r w:rsidR="00B37E8B">
          <w:rPr>
            <w:noProof/>
            <w:webHidden/>
          </w:rPr>
          <w:fldChar w:fldCharType="end"/>
        </w:r>
      </w:hyperlink>
    </w:p>
    <w:p w:rsidR="00B37E8B" w:rsidRDefault="00065F5A" w:rsidP="00B37E8B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7345" w:history="1">
        <w:r w:rsidR="00B37E8B" w:rsidRPr="00B53A38">
          <w:rPr>
            <w:rStyle w:val="Hyperlink"/>
            <w:rFonts w:hint="eastAsia"/>
            <w:noProof/>
            <w:rtl/>
          </w:rPr>
          <w:t>مستند</w:t>
        </w:r>
        <w:r w:rsidR="00B37E8B" w:rsidRPr="00B53A38">
          <w:rPr>
            <w:rStyle w:val="Hyperlink"/>
            <w:noProof/>
            <w:rtl/>
          </w:rPr>
          <w:t xml:space="preserve"> </w:t>
        </w:r>
        <w:r w:rsidR="00B37E8B" w:rsidRPr="00B53A38">
          <w:rPr>
            <w:rStyle w:val="Hyperlink"/>
            <w:rFonts w:hint="eastAsia"/>
            <w:noProof/>
            <w:rtl/>
          </w:rPr>
          <w:t>بحث</w:t>
        </w:r>
        <w:r w:rsidR="00B37E8B">
          <w:rPr>
            <w:noProof/>
            <w:webHidden/>
          </w:rPr>
          <w:tab/>
        </w:r>
        <w:r w:rsidR="00B37E8B">
          <w:rPr>
            <w:noProof/>
            <w:webHidden/>
          </w:rPr>
          <w:fldChar w:fldCharType="begin"/>
        </w:r>
        <w:r w:rsidR="00B37E8B">
          <w:rPr>
            <w:noProof/>
            <w:webHidden/>
          </w:rPr>
          <w:instrText xml:space="preserve"> PAGEREF _Toc432607345 \h </w:instrText>
        </w:r>
        <w:r w:rsidR="00B37E8B">
          <w:rPr>
            <w:noProof/>
            <w:webHidden/>
          </w:rPr>
        </w:r>
        <w:r w:rsidR="00B37E8B">
          <w:rPr>
            <w:noProof/>
            <w:webHidden/>
          </w:rPr>
          <w:fldChar w:fldCharType="separate"/>
        </w:r>
        <w:r w:rsidR="00B37E8B">
          <w:rPr>
            <w:noProof/>
            <w:webHidden/>
          </w:rPr>
          <w:t>2</w:t>
        </w:r>
        <w:r w:rsidR="00B37E8B">
          <w:rPr>
            <w:noProof/>
            <w:webHidden/>
          </w:rPr>
          <w:fldChar w:fldCharType="end"/>
        </w:r>
      </w:hyperlink>
    </w:p>
    <w:p w:rsidR="00B37E8B" w:rsidRDefault="00065F5A" w:rsidP="00B37E8B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7346" w:history="1">
        <w:r w:rsidR="00B37E8B" w:rsidRPr="00B53A38">
          <w:rPr>
            <w:rStyle w:val="Hyperlink"/>
            <w:rFonts w:hint="eastAsia"/>
            <w:noProof/>
            <w:rtl/>
          </w:rPr>
          <w:t>مستند</w:t>
        </w:r>
        <w:r w:rsidR="00B37E8B" w:rsidRPr="00B53A38">
          <w:rPr>
            <w:rStyle w:val="Hyperlink"/>
            <w:noProof/>
            <w:rtl/>
          </w:rPr>
          <w:t xml:space="preserve"> </w:t>
        </w:r>
        <w:r w:rsidR="00B37E8B" w:rsidRPr="00B53A38">
          <w:rPr>
            <w:rStyle w:val="Hyperlink"/>
            <w:rFonts w:hint="eastAsia"/>
            <w:noProof/>
            <w:rtl/>
          </w:rPr>
          <w:t>غ</w:t>
        </w:r>
        <w:r w:rsidR="00B37E8B" w:rsidRPr="00B53A38">
          <w:rPr>
            <w:rStyle w:val="Hyperlink"/>
            <w:rFonts w:hint="cs"/>
            <w:noProof/>
            <w:rtl/>
          </w:rPr>
          <w:t>ی</w:t>
        </w:r>
        <w:r w:rsidR="00B37E8B" w:rsidRPr="00B53A38">
          <w:rPr>
            <w:rStyle w:val="Hyperlink"/>
            <w:rFonts w:hint="eastAsia"/>
            <w:noProof/>
            <w:rtl/>
          </w:rPr>
          <w:t>ر</w:t>
        </w:r>
        <w:r w:rsidR="00B37E8B" w:rsidRPr="00B53A38">
          <w:rPr>
            <w:rStyle w:val="Hyperlink"/>
            <w:noProof/>
            <w:rtl/>
          </w:rPr>
          <w:t xml:space="preserve"> </w:t>
        </w:r>
        <w:r w:rsidR="00B37E8B" w:rsidRPr="00B53A38">
          <w:rPr>
            <w:rStyle w:val="Hyperlink"/>
            <w:rFonts w:hint="eastAsia"/>
            <w:noProof/>
            <w:rtl/>
          </w:rPr>
          <w:t>مشهور</w:t>
        </w:r>
        <w:r w:rsidR="00B37E8B">
          <w:rPr>
            <w:noProof/>
            <w:webHidden/>
          </w:rPr>
          <w:tab/>
        </w:r>
        <w:r w:rsidR="00B37E8B">
          <w:rPr>
            <w:noProof/>
            <w:webHidden/>
          </w:rPr>
          <w:fldChar w:fldCharType="begin"/>
        </w:r>
        <w:r w:rsidR="00B37E8B">
          <w:rPr>
            <w:noProof/>
            <w:webHidden/>
          </w:rPr>
          <w:instrText xml:space="preserve"> PAGEREF _Toc432607346 \h </w:instrText>
        </w:r>
        <w:r w:rsidR="00B37E8B">
          <w:rPr>
            <w:noProof/>
            <w:webHidden/>
          </w:rPr>
        </w:r>
        <w:r w:rsidR="00B37E8B">
          <w:rPr>
            <w:noProof/>
            <w:webHidden/>
          </w:rPr>
          <w:fldChar w:fldCharType="separate"/>
        </w:r>
        <w:r w:rsidR="00B37E8B">
          <w:rPr>
            <w:noProof/>
            <w:webHidden/>
          </w:rPr>
          <w:t>3</w:t>
        </w:r>
        <w:r w:rsidR="00B37E8B">
          <w:rPr>
            <w:noProof/>
            <w:webHidden/>
          </w:rPr>
          <w:fldChar w:fldCharType="end"/>
        </w:r>
      </w:hyperlink>
    </w:p>
    <w:p w:rsidR="00B37E8B" w:rsidRDefault="00065F5A" w:rsidP="00B37E8B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7347" w:history="1">
        <w:r w:rsidR="00B37E8B" w:rsidRPr="00B53A38">
          <w:rPr>
            <w:rStyle w:val="Hyperlink"/>
            <w:rFonts w:hint="eastAsia"/>
            <w:noProof/>
            <w:rtl/>
          </w:rPr>
          <w:t>مستند</w:t>
        </w:r>
        <w:r w:rsidR="00B37E8B" w:rsidRPr="00B53A38">
          <w:rPr>
            <w:rStyle w:val="Hyperlink"/>
            <w:noProof/>
            <w:rtl/>
          </w:rPr>
          <w:t xml:space="preserve"> </w:t>
        </w:r>
        <w:r w:rsidR="00B37E8B" w:rsidRPr="00B53A38">
          <w:rPr>
            <w:rStyle w:val="Hyperlink"/>
            <w:rFonts w:hint="eastAsia"/>
            <w:noProof/>
            <w:rtl/>
          </w:rPr>
          <w:t>مشهور</w:t>
        </w:r>
        <w:r w:rsidR="00B37E8B">
          <w:rPr>
            <w:noProof/>
            <w:webHidden/>
          </w:rPr>
          <w:tab/>
        </w:r>
        <w:r w:rsidR="00B37E8B">
          <w:rPr>
            <w:noProof/>
            <w:webHidden/>
          </w:rPr>
          <w:fldChar w:fldCharType="begin"/>
        </w:r>
        <w:r w:rsidR="00B37E8B">
          <w:rPr>
            <w:noProof/>
            <w:webHidden/>
          </w:rPr>
          <w:instrText xml:space="preserve"> PAGEREF _Toc432607347 \h </w:instrText>
        </w:r>
        <w:r w:rsidR="00B37E8B">
          <w:rPr>
            <w:noProof/>
            <w:webHidden/>
          </w:rPr>
        </w:r>
        <w:r w:rsidR="00B37E8B">
          <w:rPr>
            <w:noProof/>
            <w:webHidden/>
          </w:rPr>
          <w:fldChar w:fldCharType="separate"/>
        </w:r>
        <w:r w:rsidR="00B37E8B">
          <w:rPr>
            <w:noProof/>
            <w:webHidden/>
          </w:rPr>
          <w:t>3</w:t>
        </w:r>
        <w:r w:rsidR="00B37E8B">
          <w:rPr>
            <w:noProof/>
            <w:webHidden/>
          </w:rPr>
          <w:fldChar w:fldCharType="end"/>
        </w:r>
      </w:hyperlink>
    </w:p>
    <w:p w:rsidR="00B37E8B" w:rsidRDefault="00065F5A" w:rsidP="00B37E8B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7348" w:history="1">
        <w:r w:rsidR="00B37E8B" w:rsidRPr="00B53A38">
          <w:rPr>
            <w:rStyle w:val="Hyperlink"/>
            <w:rFonts w:hint="eastAsia"/>
            <w:noProof/>
            <w:rtl/>
          </w:rPr>
          <w:t>پاسخ</w:t>
        </w:r>
        <w:r w:rsidR="00B37E8B" w:rsidRPr="00B53A38">
          <w:rPr>
            <w:rStyle w:val="Hyperlink"/>
            <w:noProof/>
            <w:rtl/>
          </w:rPr>
          <w:t xml:space="preserve"> </w:t>
        </w:r>
        <w:r w:rsidR="00B37E8B" w:rsidRPr="00B53A38">
          <w:rPr>
            <w:rStyle w:val="Hyperlink"/>
            <w:rFonts w:hint="eastAsia"/>
            <w:noProof/>
            <w:rtl/>
          </w:rPr>
          <w:t>از</w:t>
        </w:r>
        <w:r w:rsidR="00B37E8B" w:rsidRPr="00B53A38">
          <w:rPr>
            <w:rStyle w:val="Hyperlink"/>
            <w:noProof/>
            <w:rtl/>
          </w:rPr>
          <w:t xml:space="preserve"> </w:t>
        </w:r>
        <w:r w:rsidR="00B37E8B" w:rsidRPr="00B53A38">
          <w:rPr>
            <w:rStyle w:val="Hyperlink"/>
            <w:rFonts w:hint="eastAsia"/>
            <w:noProof/>
            <w:rtl/>
          </w:rPr>
          <w:t>مناقشه</w:t>
        </w:r>
        <w:r w:rsidR="00B37E8B" w:rsidRPr="00B53A38">
          <w:rPr>
            <w:rStyle w:val="Hyperlink"/>
            <w:noProof/>
            <w:rtl/>
          </w:rPr>
          <w:t xml:space="preserve"> </w:t>
        </w:r>
        <w:r w:rsidR="00B37E8B" w:rsidRPr="00B53A38">
          <w:rPr>
            <w:rStyle w:val="Hyperlink"/>
            <w:rFonts w:hint="eastAsia"/>
            <w:noProof/>
            <w:rtl/>
          </w:rPr>
          <w:t>فوق</w:t>
        </w:r>
        <w:r w:rsidR="00B37E8B">
          <w:rPr>
            <w:noProof/>
            <w:webHidden/>
          </w:rPr>
          <w:tab/>
        </w:r>
        <w:r w:rsidR="00B37E8B">
          <w:rPr>
            <w:noProof/>
            <w:webHidden/>
          </w:rPr>
          <w:fldChar w:fldCharType="begin"/>
        </w:r>
        <w:r w:rsidR="00B37E8B">
          <w:rPr>
            <w:noProof/>
            <w:webHidden/>
          </w:rPr>
          <w:instrText xml:space="preserve"> PAGEREF _Toc432607348 \h </w:instrText>
        </w:r>
        <w:r w:rsidR="00B37E8B">
          <w:rPr>
            <w:noProof/>
            <w:webHidden/>
          </w:rPr>
        </w:r>
        <w:r w:rsidR="00B37E8B">
          <w:rPr>
            <w:noProof/>
            <w:webHidden/>
          </w:rPr>
          <w:fldChar w:fldCharType="separate"/>
        </w:r>
        <w:r w:rsidR="00B37E8B">
          <w:rPr>
            <w:noProof/>
            <w:webHidden/>
          </w:rPr>
          <w:t>3</w:t>
        </w:r>
        <w:r w:rsidR="00B37E8B">
          <w:rPr>
            <w:noProof/>
            <w:webHidden/>
          </w:rPr>
          <w:fldChar w:fldCharType="end"/>
        </w:r>
      </w:hyperlink>
    </w:p>
    <w:p w:rsidR="00B37E8B" w:rsidRDefault="00065F5A" w:rsidP="00B37E8B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7349" w:history="1">
        <w:r w:rsidR="00B37E8B" w:rsidRPr="00B53A38">
          <w:rPr>
            <w:rStyle w:val="Hyperlink"/>
            <w:rFonts w:hint="eastAsia"/>
            <w:noProof/>
            <w:rtl/>
          </w:rPr>
          <w:t>جمع</w:t>
        </w:r>
        <w:r w:rsidR="00B37E8B" w:rsidRPr="00B53A38">
          <w:rPr>
            <w:rStyle w:val="Hyperlink"/>
            <w:noProof/>
            <w:rtl/>
          </w:rPr>
          <w:t xml:space="preserve"> </w:t>
        </w:r>
        <w:r w:rsidR="00B37E8B" w:rsidRPr="00B53A38">
          <w:rPr>
            <w:rStyle w:val="Hyperlink"/>
            <w:rFonts w:hint="eastAsia"/>
            <w:noProof/>
            <w:rtl/>
          </w:rPr>
          <w:t>آقا</w:t>
        </w:r>
        <w:r w:rsidR="00B37E8B" w:rsidRPr="00B53A38">
          <w:rPr>
            <w:rStyle w:val="Hyperlink"/>
            <w:rFonts w:hint="cs"/>
            <w:noProof/>
            <w:rtl/>
          </w:rPr>
          <w:t>ی</w:t>
        </w:r>
        <w:r w:rsidR="00B37E8B" w:rsidRPr="00B53A38">
          <w:rPr>
            <w:rStyle w:val="Hyperlink"/>
            <w:noProof/>
            <w:rtl/>
          </w:rPr>
          <w:t xml:space="preserve"> </w:t>
        </w:r>
        <w:r w:rsidR="00B37E8B" w:rsidRPr="00B53A38">
          <w:rPr>
            <w:rStyle w:val="Hyperlink"/>
            <w:rFonts w:hint="eastAsia"/>
            <w:noProof/>
            <w:rtl/>
          </w:rPr>
          <w:t>خوانسار</w:t>
        </w:r>
        <w:r w:rsidR="00B37E8B" w:rsidRPr="00B53A38">
          <w:rPr>
            <w:rStyle w:val="Hyperlink"/>
            <w:rFonts w:hint="cs"/>
            <w:noProof/>
            <w:rtl/>
          </w:rPr>
          <w:t>ی</w:t>
        </w:r>
        <w:r w:rsidR="00B37E8B" w:rsidRPr="00B53A38">
          <w:rPr>
            <w:rStyle w:val="Hyperlink"/>
            <w:noProof/>
            <w:rtl/>
          </w:rPr>
          <w:t xml:space="preserve"> </w:t>
        </w:r>
        <w:r w:rsidR="00B37E8B" w:rsidRPr="00B53A38">
          <w:rPr>
            <w:rStyle w:val="Hyperlink"/>
            <w:rFonts w:hint="eastAsia"/>
            <w:noProof/>
            <w:rtl/>
          </w:rPr>
          <w:t>در</w:t>
        </w:r>
        <w:r w:rsidR="00B37E8B" w:rsidRPr="00B53A38">
          <w:rPr>
            <w:rStyle w:val="Hyperlink"/>
            <w:noProof/>
            <w:rtl/>
          </w:rPr>
          <w:t xml:space="preserve"> </w:t>
        </w:r>
        <w:r w:rsidR="00B37E8B" w:rsidRPr="00B53A38">
          <w:rPr>
            <w:rStyle w:val="Hyperlink"/>
            <w:rFonts w:hint="eastAsia"/>
            <w:noProof/>
            <w:rtl/>
          </w:rPr>
          <w:t>ا</w:t>
        </w:r>
        <w:r w:rsidR="00B37E8B" w:rsidRPr="00B53A38">
          <w:rPr>
            <w:rStyle w:val="Hyperlink"/>
            <w:rFonts w:hint="cs"/>
            <w:noProof/>
            <w:rtl/>
          </w:rPr>
          <w:t>ی</w:t>
        </w:r>
        <w:r w:rsidR="00B37E8B" w:rsidRPr="00B53A38">
          <w:rPr>
            <w:rStyle w:val="Hyperlink"/>
            <w:rFonts w:hint="eastAsia"/>
            <w:noProof/>
            <w:rtl/>
          </w:rPr>
          <w:t>ن</w:t>
        </w:r>
        <w:r w:rsidR="00B37E8B" w:rsidRPr="00B53A38">
          <w:rPr>
            <w:rStyle w:val="Hyperlink"/>
            <w:noProof/>
            <w:rtl/>
          </w:rPr>
          <w:t xml:space="preserve"> </w:t>
        </w:r>
        <w:r w:rsidR="00B37E8B" w:rsidRPr="00B53A38">
          <w:rPr>
            <w:rStyle w:val="Hyperlink"/>
            <w:rFonts w:hint="eastAsia"/>
            <w:noProof/>
            <w:rtl/>
          </w:rPr>
          <w:t>باب</w:t>
        </w:r>
        <w:r w:rsidR="00B37E8B">
          <w:rPr>
            <w:noProof/>
            <w:webHidden/>
          </w:rPr>
          <w:tab/>
        </w:r>
        <w:r w:rsidR="00B37E8B">
          <w:rPr>
            <w:noProof/>
            <w:webHidden/>
          </w:rPr>
          <w:fldChar w:fldCharType="begin"/>
        </w:r>
        <w:r w:rsidR="00B37E8B">
          <w:rPr>
            <w:noProof/>
            <w:webHidden/>
          </w:rPr>
          <w:instrText xml:space="preserve"> PAGEREF _Toc432607349 \h </w:instrText>
        </w:r>
        <w:r w:rsidR="00B37E8B">
          <w:rPr>
            <w:noProof/>
            <w:webHidden/>
          </w:rPr>
        </w:r>
        <w:r w:rsidR="00B37E8B">
          <w:rPr>
            <w:noProof/>
            <w:webHidden/>
          </w:rPr>
          <w:fldChar w:fldCharType="separate"/>
        </w:r>
        <w:r w:rsidR="00B37E8B">
          <w:rPr>
            <w:noProof/>
            <w:webHidden/>
          </w:rPr>
          <w:t>4</w:t>
        </w:r>
        <w:r w:rsidR="00B37E8B">
          <w:rPr>
            <w:noProof/>
            <w:webHidden/>
          </w:rPr>
          <w:fldChar w:fldCharType="end"/>
        </w:r>
      </w:hyperlink>
    </w:p>
    <w:p w:rsidR="00B37E8B" w:rsidRDefault="00065F5A" w:rsidP="00B37E8B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7350" w:history="1">
        <w:r w:rsidR="00B37E8B" w:rsidRPr="00B53A38">
          <w:rPr>
            <w:rStyle w:val="Hyperlink"/>
            <w:rFonts w:hint="eastAsia"/>
            <w:noProof/>
            <w:rtl/>
          </w:rPr>
          <w:t>اتخاذ</w:t>
        </w:r>
        <w:r w:rsidR="00B37E8B" w:rsidRPr="00B53A38">
          <w:rPr>
            <w:rStyle w:val="Hyperlink"/>
            <w:noProof/>
            <w:rtl/>
          </w:rPr>
          <w:t xml:space="preserve"> </w:t>
        </w:r>
        <w:r w:rsidR="00B37E8B" w:rsidRPr="00B53A38">
          <w:rPr>
            <w:rStyle w:val="Hyperlink"/>
            <w:rFonts w:hint="eastAsia"/>
            <w:noProof/>
            <w:rtl/>
          </w:rPr>
          <w:t>مبنا</w:t>
        </w:r>
        <w:r w:rsidR="00B37E8B">
          <w:rPr>
            <w:noProof/>
            <w:webHidden/>
          </w:rPr>
          <w:tab/>
        </w:r>
        <w:r w:rsidR="00B37E8B">
          <w:rPr>
            <w:noProof/>
            <w:webHidden/>
          </w:rPr>
          <w:fldChar w:fldCharType="begin"/>
        </w:r>
        <w:r w:rsidR="00B37E8B">
          <w:rPr>
            <w:noProof/>
            <w:webHidden/>
          </w:rPr>
          <w:instrText xml:space="preserve"> PAGEREF _Toc432607350 \h </w:instrText>
        </w:r>
        <w:r w:rsidR="00B37E8B">
          <w:rPr>
            <w:noProof/>
            <w:webHidden/>
          </w:rPr>
        </w:r>
        <w:r w:rsidR="00B37E8B">
          <w:rPr>
            <w:noProof/>
            <w:webHidden/>
          </w:rPr>
          <w:fldChar w:fldCharType="separate"/>
        </w:r>
        <w:r w:rsidR="00B37E8B">
          <w:rPr>
            <w:noProof/>
            <w:webHidden/>
          </w:rPr>
          <w:t>4</w:t>
        </w:r>
        <w:r w:rsidR="00B37E8B">
          <w:rPr>
            <w:noProof/>
            <w:webHidden/>
          </w:rPr>
          <w:fldChar w:fldCharType="end"/>
        </w:r>
      </w:hyperlink>
    </w:p>
    <w:p w:rsidR="00B37E8B" w:rsidRDefault="00B37E8B" w:rsidP="00B37E8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B37E8B" w:rsidRDefault="00B37E8B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D8062A" w:rsidRDefault="00D8062A" w:rsidP="00D8062A">
      <w:pPr>
        <w:pStyle w:val="Heading1"/>
        <w:rPr>
          <w:rtl/>
        </w:rPr>
      </w:pPr>
      <w:bookmarkStart w:id="0" w:name="_Toc432607341"/>
      <w:r>
        <w:rPr>
          <w:rtl/>
        </w:rPr>
        <w:lastRenderedPageBreak/>
        <w:t>توقف حد سرقت بر مطالبه مسروق</w:t>
      </w:r>
      <w:bookmarkEnd w:id="0"/>
    </w:p>
    <w:p w:rsidR="00D8062A" w:rsidRDefault="00D8062A" w:rsidP="00D8062A">
      <w:pPr>
        <w:pStyle w:val="Heading1"/>
      </w:pPr>
      <w:bookmarkStart w:id="1" w:name="_Toc432607342"/>
      <w:r>
        <w:rPr>
          <w:rtl/>
        </w:rPr>
        <w:t>مرور بحث گذشته</w:t>
      </w:r>
      <w:bookmarkEnd w:id="1"/>
    </w:p>
    <w:p w:rsidR="00D8062A" w:rsidRDefault="00D8062A" w:rsidP="00D8062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 xml:space="preserve">بحث در این بود، که آیا استیفای حد سرقت متوقف بر مطالبه مسروق منه است؟ و این سؤال متوقف بود بر اینکه آیا حد قطع جزء </w:t>
      </w:r>
      <w:r w:rsidR="00B37E8B">
        <w:rPr>
          <w:rFonts w:ascii="IRBadr" w:hAnsi="IRBadr" w:cs="IRBadr"/>
          <w:sz w:val="28"/>
          <w:szCs w:val="28"/>
          <w:rtl/>
          <w:lang w:bidi="fa-IR"/>
        </w:rPr>
        <w:t>حق‌الله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محض است، یا اینکه از حقوق الناس است؟ علتش این است که در روایات معتبر آمده است؛ اجرای حقوق الله محض به مطالبه نیازی ندارد. </w:t>
      </w:r>
      <w:r w:rsidR="00B37E8B">
        <w:rPr>
          <w:rFonts w:ascii="IRBadr" w:hAnsi="IRBadr" w:cs="IRBadr"/>
          <w:sz w:val="28"/>
          <w:szCs w:val="28"/>
          <w:rtl/>
          <w:lang w:bidi="fa-IR"/>
        </w:rPr>
        <w:t>همین‌که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عند الحاکم ثابت شد، حد جاری می‌شود.</w:t>
      </w:r>
    </w:p>
    <w:p w:rsidR="00D8062A" w:rsidRDefault="00D8062A" w:rsidP="00D8062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 xml:space="preserve"> اما </w:t>
      </w:r>
      <w:r w:rsidR="00B37E8B">
        <w:rPr>
          <w:rFonts w:ascii="IRBadr" w:hAnsi="IRBadr" w:cs="IRBadr"/>
          <w:sz w:val="28"/>
          <w:szCs w:val="28"/>
          <w:rtl/>
          <w:lang w:bidi="fa-IR"/>
        </w:rPr>
        <w:t>حق‌الناس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نیاز دارد علاوه بر ثبوت عند الحاکم، مطالبه ذو الحق نیز صورت گیرد.</w:t>
      </w:r>
    </w:p>
    <w:p w:rsidR="00D8062A" w:rsidRDefault="00D8062A" w:rsidP="00D8062A">
      <w:pPr>
        <w:pStyle w:val="Heading1"/>
        <w:rPr>
          <w:rtl/>
        </w:rPr>
      </w:pPr>
      <w:bookmarkStart w:id="2" w:name="_Toc432607343"/>
      <w:r>
        <w:rPr>
          <w:rtl/>
        </w:rPr>
        <w:t>اقوال در این مسأله</w:t>
      </w:r>
      <w:bookmarkEnd w:id="2"/>
    </w:p>
    <w:p w:rsidR="00D8062A" w:rsidRDefault="00D8062A" w:rsidP="00D8062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 xml:space="preserve">مشهور عند القدماء و شاید متأخرین این است که </w:t>
      </w:r>
      <w:r w:rsidR="00B37E8B">
        <w:rPr>
          <w:rFonts w:ascii="IRBadr" w:hAnsi="IRBadr" w:cs="IRBadr"/>
          <w:sz w:val="28"/>
          <w:szCs w:val="28"/>
          <w:rtl/>
          <w:lang w:bidi="fa-IR"/>
        </w:rPr>
        <w:t>حق‌الناس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و نیاز به مطالبه دارد. و در مقابل کسانی قائل شدند به اینکه </w:t>
      </w:r>
      <w:r w:rsidR="00B37E8B">
        <w:rPr>
          <w:rFonts w:ascii="IRBadr" w:hAnsi="IRBadr" w:cs="IRBadr"/>
          <w:sz w:val="28"/>
          <w:szCs w:val="28"/>
          <w:rtl/>
          <w:lang w:bidi="fa-IR"/>
        </w:rPr>
        <w:t>حق‌الناس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نیست؛ بلکه </w:t>
      </w:r>
      <w:r w:rsidR="00B37E8B">
        <w:rPr>
          <w:rFonts w:ascii="IRBadr" w:hAnsi="IRBadr" w:cs="IRBadr"/>
          <w:sz w:val="28"/>
          <w:szCs w:val="28"/>
          <w:rtl/>
          <w:lang w:bidi="fa-IR"/>
        </w:rPr>
        <w:t>حق‌الله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است و نیاز به مطالبه ندارد که در بین متأخرین نیز آقای خویی و تبریزی معتقد به این قول دوم بودند. این اقوال در خاصه بود.</w:t>
      </w:r>
    </w:p>
    <w:p w:rsidR="00D8062A" w:rsidRDefault="00D8062A" w:rsidP="00D8062A">
      <w:pPr>
        <w:pStyle w:val="Heading1"/>
        <w:rPr>
          <w:rtl/>
        </w:rPr>
      </w:pPr>
      <w:bookmarkStart w:id="3" w:name="_Toc432607344"/>
      <w:r>
        <w:rPr>
          <w:rtl/>
        </w:rPr>
        <w:t>اقوال عامه</w:t>
      </w:r>
      <w:bookmarkEnd w:id="3"/>
    </w:p>
    <w:p w:rsidR="00D8062A" w:rsidRDefault="00D8062A" w:rsidP="00D8062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در جلد ده مغنی ابن قدامه،</w:t>
      </w:r>
      <w:r w:rsidR="00B37E8B">
        <w:rPr>
          <w:rFonts w:ascii="IRBadr" w:hAnsi="IRBadr" w:cs="IRBadr"/>
          <w:sz w:val="28"/>
          <w:szCs w:val="28"/>
          <w:rtl/>
          <w:lang w:bidi="fa-IR"/>
        </w:rPr>
        <w:t xml:space="preserve"> صفحه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دویست و </w:t>
      </w:r>
      <w:r w:rsidR="00B37E8B">
        <w:rPr>
          <w:rFonts w:ascii="IRBadr" w:hAnsi="IRBadr" w:cs="IRBadr"/>
          <w:sz w:val="28"/>
          <w:szCs w:val="28"/>
          <w:rtl/>
          <w:lang w:bidi="fa-IR"/>
        </w:rPr>
        <w:t>نودوچهار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37E8B">
        <w:rPr>
          <w:rFonts w:ascii="IRBadr" w:hAnsi="IRBadr" w:cs="IRBadr"/>
          <w:sz w:val="28"/>
          <w:szCs w:val="28"/>
          <w:rtl/>
          <w:lang w:bidi="fa-IR"/>
        </w:rPr>
        <w:t>ذکرشده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است که در عامه در این مسأله دو قول وجود دارد؛</w:t>
      </w:r>
      <w:r w:rsidR="00B37E8B">
        <w:rPr>
          <w:rFonts w:ascii="IRBadr" w:hAnsi="IRBadr" w:cs="IRBadr"/>
          <w:sz w:val="28"/>
          <w:szCs w:val="28"/>
          <w:rtl/>
          <w:lang w:bidi="fa-IR"/>
        </w:rPr>
        <w:t xml:space="preserve"> مشهور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به قول اول قائل هستند که در این میان ابی حنیفه،</w:t>
      </w:r>
      <w:r w:rsidR="00B37E8B">
        <w:rPr>
          <w:rFonts w:ascii="IRBadr" w:hAnsi="IRBadr" w:cs="IRBadr"/>
          <w:sz w:val="28"/>
          <w:szCs w:val="28"/>
          <w:rtl/>
          <w:lang w:bidi="fa-IR"/>
        </w:rPr>
        <w:t xml:space="preserve"> شافع</w:t>
      </w:r>
      <w:r w:rsidR="00B37E8B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و حنفی از این افراد هستند. و در مقابل افرادی </w:t>
      </w:r>
      <w:r w:rsidR="00B37E8B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>
        <w:rPr>
          <w:rFonts w:ascii="IRBadr" w:hAnsi="IRBadr" w:cs="IRBadr"/>
          <w:sz w:val="28"/>
          <w:szCs w:val="28"/>
          <w:rtl/>
          <w:lang w:bidi="fa-IR"/>
        </w:rPr>
        <w:t>:</w:t>
      </w:r>
    </w:p>
    <w:p w:rsidR="00D8062A" w:rsidRDefault="00D8062A" w:rsidP="00D8062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در اینجا نیازی به دعوا و مطالبه نیست، این قول مالک،</w:t>
      </w:r>
      <w:r w:rsidR="00B37E8B">
        <w:rPr>
          <w:rFonts w:ascii="IRBadr" w:hAnsi="IRBadr" w:cs="IRBadr"/>
          <w:sz w:val="28"/>
          <w:szCs w:val="28"/>
          <w:rtl/>
          <w:lang w:bidi="fa-IR"/>
        </w:rPr>
        <w:t xml:space="preserve"> ابن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ملجم و برخی افراد دیگر است.</w:t>
      </w:r>
      <w:r w:rsidR="00B37E8B">
        <w:rPr>
          <w:rFonts w:ascii="IRBadr" w:hAnsi="IRBadr" w:cs="IRBadr"/>
          <w:sz w:val="28"/>
          <w:szCs w:val="28"/>
          <w:rtl/>
          <w:lang w:bidi="fa-IR"/>
        </w:rPr>
        <w:t xml:space="preserve"> آن‌ها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بیشتر از روی قیاسات و استحسانات خودشان دلیل ذکر </w:t>
      </w:r>
      <w:r w:rsidR="00B37E8B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8062A" w:rsidRDefault="00D8062A" w:rsidP="00D8062A">
      <w:pPr>
        <w:pStyle w:val="Heading2"/>
        <w:rPr>
          <w:rtl/>
        </w:rPr>
      </w:pPr>
      <w:bookmarkStart w:id="4" w:name="_Toc432607345"/>
      <w:r>
        <w:rPr>
          <w:rtl/>
        </w:rPr>
        <w:lastRenderedPageBreak/>
        <w:t>مستند بحث</w:t>
      </w:r>
      <w:bookmarkEnd w:id="4"/>
    </w:p>
    <w:p w:rsidR="00D8062A" w:rsidRDefault="00D8062A" w:rsidP="00D8062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چه در قبال عامه و چه خاصه مستند بحث تعارضی است که در روایات وجود دارد؛</w:t>
      </w:r>
    </w:p>
    <w:p w:rsidR="00D8062A" w:rsidRDefault="00D8062A" w:rsidP="00D8062A">
      <w:pPr>
        <w:pStyle w:val="Heading2"/>
        <w:rPr>
          <w:rtl/>
        </w:rPr>
      </w:pPr>
      <w:bookmarkStart w:id="5" w:name="_Toc432607346"/>
      <w:r>
        <w:rPr>
          <w:rtl/>
        </w:rPr>
        <w:t>مستند غیر مشهور</w:t>
      </w:r>
      <w:bookmarkEnd w:id="5"/>
    </w:p>
    <w:p w:rsidR="00D8062A" w:rsidRDefault="00D8062A" w:rsidP="00D8062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 xml:space="preserve">این روایت در باب </w:t>
      </w:r>
      <w:r w:rsidR="00B37E8B">
        <w:rPr>
          <w:rFonts w:ascii="IRBadr" w:hAnsi="IRBadr" w:cs="IRBadr"/>
          <w:sz w:val="28"/>
          <w:szCs w:val="28"/>
          <w:rtl/>
          <w:lang w:bidi="fa-IR"/>
        </w:rPr>
        <w:t>سی‌ودو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از ابواب مقدمات حدود صفحه سیصد و چهل سه بود. روایت اول که معتبره است دلالت </w:t>
      </w:r>
      <w:r w:rsidR="00B37E8B">
        <w:rPr>
          <w:rFonts w:ascii="IRBadr" w:hAnsi="IRBadr" w:cs="IRBadr"/>
          <w:sz w:val="28"/>
          <w:szCs w:val="28"/>
          <w:rtl/>
          <w:lang w:bidi="fa-IR"/>
        </w:rPr>
        <w:t>م</w:t>
      </w:r>
      <w:r w:rsidR="00B37E8B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بر اینکه حد سرقت </w:t>
      </w:r>
      <w:r w:rsidR="00B37E8B">
        <w:rPr>
          <w:rFonts w:ascii="IRBadr" w:hAnsi="IRBadr" w:cs="IRBadr"/>
          <w:sz w:val="28"/>
          <w:szCs w:val="28"/>
          <w:rtl/>
          <w:lang w:bidi="fa-IR"/>
        </w:rPr>
        <w:t>حق‌الله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</w:p>
    <w:p w:rsidR="00D8062A" w:rsidRDefault="00D8062A" w:rsidP="00D8062A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«فَقَالَ إِذَا أَقَرَّ عَلَ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نَفْسِهِ عِنْدَ الْإِمَامِ بِسَرِقَةٍ قَطَعَهُ فَهَذَا مِنْ حُقُوقِ اللَّهِ»</w:t>
      </w:r>
      <w:r>
        <w:rPr>
          <w:rStyle w:val="FootnoteReference"/>
          <w:rFonts w:ascii="IRBadr" w:eastAsia="2  Lotus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D8062A" w:rsidRDefault="00D8062A" w:rsidP="00D8062A">
      <w:pPr>
        <w:pStyle w:val="Heading2"/>
        <w:rPr>
          <w:rtl/>
        </w:rPr>
      </w:pPr>
      <w:bookmarkStart w:id="6" w:name="_Toc432607347"/>
      <w:r>
        <w:rPr>
          <w:rtl/>
        </w:rPr>
        <w:t>مستند مشهور</w:t>
      </w:r>
      <w:bookmarkEnd w:id="6"/>
    </w:p>
    <w:p w:rsidR="00D8062A" w:rsidRDefault="00D8062A" w:rsidP="00D8062A">
      <w:pPr>
        <w:pStyle w:val="NormalWeb"/>
        <w:bidi/>
        <w:spacing w:line="360" w:lineRule="auto"/>
        <w:jc w:val="both"/>
        <w:rPr>
          <w:rFonts w:ascii="IRBadr" w:hAnsi="IRBadr" w:cs="IRBadr"/>
          <w:color w:val="000000"/>
          <w:sz w:val="2"/>
          <w:szCs w:val="2"/>
          <w:rtl/>
        </w:rPr>
      </w:pPr>
      <w:r>
        <w:rPr>
          <w:rFonts w:ascii="IRBadr" w:hAnsi="IRBadr" w:cs="IRBadr"/>
          <w:sz w:val="28"/>
          <w:szCs w:val="28"/>
          <w:rtl/>
        </w:rPr>
        <w:t xml:space="preserve">در نقطه مقابل روایت دیگری است که مطابق با قول مشهور بود. روایت حسین بن خالد که در آنجا </w:t>
      </w:r>
      <w:r w:rsidR="00B37E8B">
        <w:rPr>
          <w:rFonts w:ascii="IRBadr" w:hAnsi="IRBadr" w:cs="IRBadr"/>
          <w:sz w:val="28"/>
          <w:szCs w:val="28"/>
          <w:rtl/>
        </w:rPr>
        <w:t>این‌طور</w:t>
      </w:r>
      <w:r>
        <w:rPr>
          <w:rFonts w:ascii="IRBadr" w:hAnsi="IRBadr" w:cs="IRBadr"/>
          <w:sz w:val="28"/>
          <w:szCs w:val="28"/>
          <w:rtl/>
        </w:rPr>
        <w:t xml:space="preserve"> بود؛</w:t>
      </w:r>
    </w:p>
    <w:p w:rsidR="00D8062A" w:rsidRDefault="00D8062A" w:rsidP="00D8062A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</w:rPr>
      </w:pP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«مَا رَوَاهُ مُحَمَّدُ بْنُ 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عْقُوبَ عَنْ عَلِ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بْنِ مُحَمَّدٍ عَنْ مُحَمَّدِ بْنِ أَحْمَدَ الْمَحْمُودِ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أَبِ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هِ عَنْ 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ونُسَ عَنْ حُسَ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نِ بْنِ خَالِدٍ عَنْ أَبِ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قَالَ سَمِعْتُهُ 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قُولُ الْوَاجِبُ عَلَ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الْإِمَامِ إِذَا نَظَرَ إِلَ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رَجُلٍ 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زْنِ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أَوْ شَرِبَ خَمْراً أَنْ 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قِ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عَلَ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هِ الْحَدَّ وَ لَا 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حْتَاجُ إِلَ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بَ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نَةٍ مَعَ نَظَرِهِ لِأَنَّهُ أَمِ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نُ اللَّهِ فِ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خَلْقِهِ وَ إِذَا نَظَرَ إِلَ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رَجُلٍ 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سْرِقُ فَالْوَاجِبُ عَلَ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هِ أَنْ 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زْبُرَهُ وَ 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نْهَاهُ وَ 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مْضِ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وَ 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دَعَهُ قُلْتُ 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کی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فَ ذَلِ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قَالَ لِأَنَّ الْحَقَّ إِذَا 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انَ لِلَّهِ فَالْوَاجِبُ عَلَ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الْإِمَامِ إِقَامَتُهُ وَ إِذَا 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انَ لِلنَّاسِ فَهُوَ لِلنَّاسِ.</w:t>
      </w:r>
      <w:r w:rsidR="00B37E8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>
        <w:rPr>
          <w:rStyle w:val="FootnoteReference"/>
          <w:rFonts w:ascii="IRBadr" w:eastAsia="2  Lotus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D8062A" w:rsidRDefault="00D8062A" w:rsidP="00D8062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در سند این روایت مانعی وجود دارد. لذا حضرت </w:t>
      </w:r>
      <w:r w:rsidR="00B37E8B">
        <w:rPr>
          <w:rFonts w:ascii="IRBadr" w:hAnsi="IRBadr" w:cs="IRBadr"/>
          <w:sz w:val="28"/>
          <w:szCs w:val="28"/>
          <w:rtl/>
          <w:lang w:bidi="fa-IR"/>
        </w:rPr>
        <w:t>آیت‌الله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تبریزی حفظه الله در قبال این تعبیر به روایت کردند و نگفتند معتبره یا صحیحه.</w:t>
      </w:r>
      <w:r w:rsidR="00B37E8B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در این روایت از خود راوی نقل </w:t>
      </w:r>
      <w:r w:rsidR="00B37E8B">
        <w:rPr>
          <w:rFonts w:ascii="IRBadr" w:hAnsi="IRBadr" w:cs="IRBadr"/>
          <w:sz w:val="28"/>
          <w:szCs w:val="28"/>
          <w:rtl/>
          <w:lang w:bidi="fa-IR"/>
        </w:rPr>
        <w:t>م</w:t>
      </w:r>
      <w:r w:rsidR="00B37E8B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که امام به من فرمود پدرت از نیکان بود و تو هم مثل او هستی که در حقیقت این مصادره به مطلوب است.</w:t>
      </w:r>
    </w:p>
    <w:p w:rsidR="00D8062A" w:rsidRDefault="00D8062A" w:rsidP="00D8062A">
      <w:pPr>
        <w:pStyle w:val="Heading2"/>
        <w:rPr>
          <w:rtl/>
        </w:rPr>
      </w:pPr>
      <w:bookmarkStart w:id="7" w:name="_Toc432607348"/>
      <w:r>
        <w:rPr>
          <w:rtl/>
        </w:rPr>
        <w:t>پاسخ از مناقشه فوق</w:t>
      </w:r>
      <w:bookmarkEnd w:id="7"/>
    </w:p>
    <w:p w:rsidR="00D8062A" w:rsidRDefault="00D8062A" w:rsidP="00D8062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 xml:space="preserve">اما این اشکال سندی را </w:t>
      </w:r>
      <w:r w:rsidR="00B37E8B">
        <w:rPr>
          <w:rFonts w:ascii="IRBadr" w:hAnsi="IRBadr" w:cs="IRBadr"/>
          <w:sz w:val="28"/>
          <w:szCs w:val="28"/>
          <w:rtl/>
          <w:lang w:bidi="fa-IR"/>
        </w:rPr>
        <w:t>م</w:t>
      </w:r>
      <w:r w:rsidR="00B37E8B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جواب داد به اینکه در این روایت یونس قرار دارد، و آقای تبریزی قائل به تعویض سند هستند و قاعده تعویض سند را اگر کسی بپذیرد، </w:t>
      </w:r>
      <w:r w:rsidR="00B37E8B">
        <w:rPr>
          <w:rFonts w:ascii="IRBadr" w:hAnsi="IRBadr" w:cs="IRBadr"/>
          <w:sz w:val="28"/>
          <w:szCs w:val="28"/>
          <w:rtl/>
          <w:lang w:bidi="fa-IR"/>
        </w:rPr>
        <w:t>آن‌وقت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در قبال عن یونس عن حسین به خالد،</w:t>
      </w:r>
      <w:r w:rsidR="00B37E8B">
        <w:rPr>
          <w:rFonts w:ascii="IRBadr" w:hAnsi="IRBadr" w:cs="IRBadr"/>
          <w:sz w:val="28"/>
          <w:szCs w:val="28"/>
          <w:rtl/>
          <w:lang w:bidi="fa-IR"/>
        </w:rPr>
        <w:t xml:space="preserve"> ش</w:t>
      </w:r>
      <w:r w:rsidR="00B37E8B">
        <w:rPr>
          <w:rFonts w:ascii="IRBadr" w:hAnsi="IRBadr" w:cs="IRBadr" w:hint="cs"/>
          <w:sz w:val="28"/>
          <w:szCs w:val="28"/>
          <w:rtl/>
          <w:lang w:bidi="fa-IR"/>
        </w:rPr>
        <w:t>یخ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در فهرست درباره یونس سندهای معتبری دارند، لذا احتمالاً آن سند را می‌شود جایگزین این سند نمود و روایت را معتبره تلقی کرد. لذا هر دو روایت </w:t>
      </w:r>
      <w:r w:rsidR="00B37E8B">
        <w:rPr>
          <w:rFonts w:ascii="IRBadr" w:hAnsi="IRBadr" w:cs="IRBadr"/>
          <w:sz w:val="28"/>
          <w:szCs w:val="28"/>
          <w:rtl/>
          <w:lang w:bidi="fa-IR"/>
        </w:rPr>
        <w:t>باملاحظه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این قاعده معتبره خواهد شد.</w:t>
      </w:r>
    </w:p>
    <w:p w:rsidR="00D8062A" w:rsidRDefault="00D8062A" w:rsidP="00D8062A">
      <w:pPr>
        <w:pStyle w:val="Heading2"/>
        <w:rPr>
          <w:rtl/>
        </w:rPr>
      </w:pPr>
      <w:bookmarkStart w:id="8" w:name="_Toc432607349"/>
      <w:r>
        <w:rPr>
          <w:rtl/>
        </w:rPr>
        <w:t>جمع آقای خوانساری در این باب</w:t>
      </w:r>
      <w:bookmarkEnd w:id="8"/>
    </w:p>
    <w:p w:rsidR="00D8062A" w:rsidRDefault="00D8062A" w:rsidP="00D8062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مرحوم آقای خوانساری در اینجا به نحوی خواستند جمع کنند، به این صورت که روایت فضیل را که دلالت می‌کرد مطالبه لازم دارد را گفتند مطلق است و این روایت حسین بن خالد مقید است، به این بیان که در روایت فضیل است؛</w:t>
      </w:r>
      <w:r w:rsidR="00B37E8B">
        <w:rPr>
          <w:rFonts w:ascii="IRBadr" w:hAnsi="IRBadr" w:cs="IRBadr"/>
          <w:sz w:val="28"/>
          <w:szCs w:val="28"/>
          <w:rtl/>
          <w:lang w:bidi="fa-IR"/>
        </w:rPr>
        <w:t xml:space="preserve"> زمان</w:t>
      </w:r>
      <w:r w:rsidR="00B37E8B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که اقرار بر نفس کند از حقوق الله است،</w:t>
      </w:r>
      <w:r w:rsidR="00B37E8B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B37E8B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مطلق است چه پس از اقرار فرد مطالبه کند یا نکند،</w:t>
      </w:r>
      <w:r w:rsidR="00B37E8B">
        <w:rPr>
          <w:rFonts w:ascii="IRBadr" w:hAnsi="IRBadr" w:cs="IRBadr"/>
          <w:sz w:val="28"/>
          <w:szCs w:val="28"/>
          <w:rtl/>
          <w:lang w:bidi="fa-IR"/>
        </w:rPr>
        <w:t xml:space="preserve"> حد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اقامه </w:t>
      </w:r>
      <w:r w:rsidR="00B37E8B">
        <w:rPr>
          <w:rFonts w:ascii="IRBadr" w:hAnsi="IRBadr" w:cs="IRBadr"/>
          <w:sz w:val="28"/>
          <w:szCs w:val="28"/>
          <w:rtl/>
          <w:lang w:bidi="fa-IR"/>
        </w:rPr>
        <w:t>م</w:t>
      </w:r>
      <w:r w:rsidR="00B37E8B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/>
          <w:sz w:val="28"/>
          <w:szCs w:val="28"/>
          <w:rtl/>
          <w:lang w:bidi="fa-IR"/>
        </w:rPr>
        <w:t>.</w:t>
      </w:r>
      <w:r w:rsidR="00B37E8B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روایت خالد </w:t>
      </w:r>
      <w:r w:rsidR="00B37E8B">
        <w:rPr>
          <w:rFonts w:ascii="IRBadr" w:hAnsi="IRBadr" w:cs="IRBadr"/>
          <w:sz w:val="28"/>
          <w:szCs w:val="28"/>
          <w:rtl/>
          <w:lang w:bidi="fa-IR"/>
        </w:rPr>
        <w:t>م</w:t>
      </w:r>
      <w:r w:rsidR="00B37E8B">
        <w:rPr>
          <w:rFonts w:ascii="IRBadr" w:hAnsi="IRBadr" w:cs="IRBadr" w:hint="cs"/>
          <w:sz w:val="28"/>
          <w:szCs w:val="28"/>
          <w:rtl/>
          <w:lang w:bidi="fa-IR"/>
        </w:rPr>
        <w:t>ی‌گوید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اگر مطالبه نشود رها </w:t>
      </w:r>
      <w:r w:rsidR="00B37E8B">
        <w:rPr>
          <w:rFonts w:ascii="IRBadr" w:hAnsi="IRBadr" w:cs="IRBadr"/>
          <w:sz w:val="28"/>
          <w:szCs w:val="28"/>
          <w:rtl/>
          <w:lang w:bidi="fa-IR"/>
        </w:rPr>
        <w:t>م</w:t>
      </w:r>
      <w:r w:rsidR="00B37E8B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8062A" w:rsidRDefault="00D8062A" w:rsidP="00D8062A">
      <w:pPr>
        <w:pStyle w:val="Heading2"/>
        <w:rPr>
          <w:rtl/>
        </w:rPr>
      </w:pPr>
      <w:r>
        <w:rPr>
          <w:rtl/>
        </w:rPr>
        <w:t xml:space="preserve"> </w:t>
      </w:r>
      <w:bookmarkStart w:id="9" w:name="_Toc432607350"/>
      <w:r>
        <w:rPr>
          <w:rtl/>
        </w:rPr>
        <w:t>اتخاذ مبنا</w:t>
      </w:r>
      <w:bookmarkEnd w:id="9"/>
    </w:p>
    <w:p w:rsidR="00D8062A" w:rsidRDefault="00D8062A" w:rsidP="00D8062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 xml:space="preserve">جمع </w:t>
      </w:r>
      <w:r w:rsidR="00B37E8B">
        <w:rPr>
          <w:rFonts w:ascii="IRBadr" w:hAnsi="IRBadr" w:cs="IRBadr"/>
          <w:sz w:val="28"/>
          <w:szCs w:val="28"/>
          <w:rtl/>
          <w:lang w:bidi="fa-IR"/>
        </w:rPr>
        <w:t>ارائه‌شده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عرفی نیست.</w:t>
      </w:r>
    </w:p>
    <w:p w:rsidR="00D8062A" w:rsidRDefault="00D8062A" w:rsidP="00D8062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C12468" w:rsidRPr="00B403CF" w:rsidRDefault="00C12468" w:rsidP="00C12468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sectPr w:rsidR="00C12468" w:rsidRPr="00B403CF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5A" w:rsidRDefault="00065F5A" w:rsidP="000D5800">
      <w:pPr>
        <w:spacing w:after="0" w:line="240" w:lineRule="auto"/>
      </w:pPr>
      <w:r>
        <w:separator/>
      </w:r>
    </w:p>
  </w:endnote>
  <w:endnote w:type="continuationSeparator" w:id="0">
    <w:p w:rsidR="00065F5A" w:rsidRDefault="00065F5A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8B" w:rsidRDefault="00B37E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8B" w:rsidRDefault="00B37E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8B" w:rsidRDefault="00B37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5A" w:rsidRDefault="00065F5A" w:rsidP="00FE1F30">
      <w:pPr>
        <w:spacing w:after="0" w:line="240" w:lineRule="auto"/>
        <w:jc w:val="right"/>
      </w:pPr>
      <w:r>
        <w:separator/>
      </w:r>
    </w:p>
  </w:footnote>
  <w:footnote w:type="continuationSeparator" w:id="0">
    <w:p w:rsidR="00065F5A" w:rsidRDefault="00065F5A" w:rsidP="000D5800">
      <w:pPr>
        <w:spacing w:after="0" w:line="240" w:lineRule="auto"/>
      </w:pPr>
      <w:r>
        <w:continuationSeparator/>
      </w:r>
    </w:p>
  </w:footnote>
  <w:footnote w:id="1">
    <w:p w:rsidR="00D8062A" w:rsidRPr="00FE1F30" w:rsidRDefault="00D8062A" w:rsidP="00D8062A">
      <w:pPr>
        <w:pStyle w:val="FootnoteText"/>
        <w:rPr>
          <w:rFonts w:ascii="IRBadr" w:hAnsi="IRBadr" w:cs="IRBadr"/>
          <w:rtl/>
        </w:rPr>
      </w:pPr>
      <w:r w:rsidRPr="00FE1F30">
        <w:rPr>
          <w:rStyle w:val="FootnoteReference"/>
          <w:rFonts w:ascii="IRBadr" w:eastAsia="2  Lotus" w:hAnsi="IRBadr" w:cs="IRBadr"/>
        </w:rPr>
        <w:footnoteRef/>
      </w:r>
      <w:r w:rsidRPr="00FE1F30">
        <w:rPr>
          <w:rFonts w:ascii="IRBadr" w:hAnsi="IRBadr" w:cs="IRBadr"/>
        </w:rPr>
        <w:t xml:space="preserve"> </w:t>
      </w:r>
      <w:r w:rsidRPr="00FE1F30">
        <w:rPr>
          <w:rFonts w:ascii="IRBadr" w:hAnsi="IRBadr" w:cs="IRBadr"/>
          <w:color w:val="000000" w:themeColor="text1"/>
          <w:rtl/>
        </w:rPr>
        <w:t>تهذ</w:t>
      </w:r>
      <w:r w:rsidR="00B37E8B" w:rsidRPr="00FE1F30">
        <w:rPr>
          <w:rFonts w:ascii="IRBadr" w:hAnsi="IRBadr" w:cs="IRBadr"/>
          <w:color w:val="000000" w:themeColor="text1"/>
          <w:rtl/>
        </w:rPr>
        <w:t>ی</w:t>
      </w:r>
      <w:r w:rsidRPr="00FE1F30">
        <w:rPr>
          <w:rFonts w:ascii="IRBadr" w:hAnsi="IRBadr" w:cs="IRBadr"/>
          <w:color w:val="000000" w:themeColor="text1"/>
          <w:rtl/>
        </w:rPr>
        <w:t>ب الأح</w:t>
      </w:r>
      <w:r w:rsidR="00B37E8B" w:rsidRPr="00FE1F30">
        <w:rPr>
          <w:rFonts w:ascii="IRBadr" w:hAnsi="IRBadr" w:cs="IRBadr"/>
          <w:color w:val="000000" w:themeColor="text1"/>
          <w:rtl/>
        </w:rPr>
        <w:t>ک</w:t>
      </w:r>
      <w:r w:rsidRPr="00FE1F30">
        <w:rPr>
          <w:rFonts w:ascii="IRBadr" w:hAnsi="IRBadr" w:cs="IRBadr"/>
          <w:color w:val="000000" w:themeColor="text1"/>
          <w:rtl/>
        </w:rPr>
        <w:t xml:space="preserve">ام؛ </w:t>
      </w:r>
      <w:r w:rsidR="00B37E8B" w:rsidRPr="00FE1F30">
        <w:rPr>
          <w:rFonts w:ascii="IRBadr" w:hAnsi="IRBadr" w:cs="IRBadr"/>
          <w:color w:val="000000" w:themeColor="text1"/>
          <w:rtl/>
        </w:rPr>
        <w:t>ج 10</w:t>
      </w:r>
      <w:r w:rsidRPr="00FE1F30">
        <w:rPr>
          <w:rFonts w:ascii="IRBadr" w:hAnsi="IRBadr" w:cs="IRBadr"/>
          <w:color w:val="000000" w:themeColor="text1"/>
          <w:rtl/>
        </w:rPr>
        <w:t>، ص: 7</w:t>
      </w:r>
    </w:p>
  </w:footnote>
  <w:footnote w:id="2">
    <w:p w:rsidR="00D8062A" w:rsidRDefault="00D8062A" w:rsidP="00D8062A">
      <w:pPr>
        <w:pStyle w:val="FootnoteText"/>
        <w:rPr>
          <w:rtl/>
        </w:rPr>
      </w:pPr>
      <w:r w:rsidRPr="00FE1F30">
        <w:rPr>
          <w:rStyle w:val="FootnoteReference"/>
          <w:rFonts w:ascii="IRBadr" w:eastAsia="2  Lotus" w:hAnsi="IRBadr" w:cs="IRBadr"/>
        </w:rPr>
        <w:footnoteRef/>
      </w:r>
      <w:r w:rsidRPr="00FE1F30">
        <w:rPr>
          <w:rFonts w:ascii="IRBadr" w:hAnsi="IRBadr" w:cs="IRBadr"/>
        </w:rPr>
        <w:t xml:space="preserve"> </w:t>
      </w:r>
      <w:r w:rsidRPr="00FE1F30">
        <w:rPr>
          <w:rFonts w:ascii="IRBadr" w:hAnsi="IRBadr" w:cs="IRBadr"/>
          <w:color w:val="000000" w:themeColor="text1"/>
          <w:rtl/>
        </w:rPr>
        <w:t>الاستبصار ف</w:t>
      </w:r>
      <w:r w:rsidR="00B37E8B" w:rsidRPr="00FE1F30">
        <w:rPr>
          <w:rFonts w:ascii="IRBadr" w:hAnsi="IRBadr" w:cs="IRBadr"/>
          <w:color w:val="000000" w:themeColor="text1"/>
          <w:rtl/>
        </w:rPr>
        <w:t>ی</w:t>
      </w:r>
      <w:r w:rsidRPr="00FE1F30">
        <w:rPr>
          <w:rFonts w:ascii="IRBadr" w:hAnsi="IRBadr" w:cs="IRBadr"/>
          <w:color w:val="000000" w:themeColor="text1"/>
          <w:rtl/>
        </w:rPr>
        <w:t xml:space="preserve">ما اختلف من الأخبار؛ </w:t>
      </w:r>
      <w:r w:rsidR="00B37E8B" w:rsidRPr="00FE1F30">
        <w:rPr>
          <w:rFonts w:ascii="IRBadr" w:hAnsi="IRBadr" w:cs="IRBadr"/>
          <w:color w:val="000000" w:themeColor="text1"/>
          <w:rtl/>
        </w:rPr>
        <w:t>ج 4</w:t>
      </w:r>
      <w:r w:rsidRPr="00FE1F30">
        <w:rPr>
          <w:rFonts w:ascii="IRBadr" w:hAnsi="IRBadr" w:cs="IRBadr"/>
          <w:color w:val="000000" w:themeColor="text1"/>
          <w:rtl/>
        </w:rPr>
        <w:t>، ص: 216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8B" w:rsidRDefault="00B37E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8750F6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8757E68" wp14:editId="6E7F1C7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2E7ADE0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0" w:name="OLE_LINK1"/>
    <w:bookmarkStart w:id="11" w:name="OLE_LINK2"/>
    <w:r>
      <w:rPr>
        <w:noProof/>
        <w:lang w:bidi="fa-IR"/>
      </w:rPr>
      <w:drawing>
        <wp:inline distT="0" distB="0" distL="0" distR="0" wp14:anchorId="1D7311E4" wp14:editId="62820E73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r w:rsidR="008750F6">
      <w:rPr>
        <w:rFonts w:ascii="IranNastaliq" w:hAnsi="IranNastaliq" w:cs="IranNastaliq" w:hint="cs"/>
        <w:sz w:val="40"/>
        <w:szCs w:val="40"/>
        <w:rtl/>
        <w:lang w:bidi="fa-I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bookmarkStart w:id="12" w:name="_GoBack"/>
    <w:bookmarkEnd w:id="12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8750F6">
      <w:rPr>
        <w:rFonts w:ascii="IranNastaliq" w:hAnsi="IranNastaliq" w:cs="IranNastaliq"/>
        <w:sz w:val="40"/>
        <w:szCs w:val="40"/>
        <w:lang w:bidi="fa-IR"/>
      </w:rPr>
      <w:t>909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8B" w:rsidRDefault="00B37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65F5A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C7D06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8112A"/>
    <w:rsid w:val="004B337F"/>
    <w:rsid w:val="004F3596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B0BCE"/>
    <w:rsid w:val="006D3A87"/>
    <w:rsid w:val="006F01B4"/>
    <w:rsid w:val="0072383B"/>
    <w:rsid w:val="00734D59"/>
    <w:rsid w:val="0073609B"/>
    <w:rsid w:val="00742D5C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750F6"/>
    <w:rsid w:val="00883733"/>
    <w:rsid w:val="008965D2"/>
    <w:rsid w:val="008A236D"/>
    <w:rsid w:val="008B565A"/>
    <w:rsid w:val="008C3414"/>
    <w:rsid w:val="008D36D5"/>
    <w:rsid w:val="008F63E3"/>
    <w:rsid w:val="009013AF"/>
    <w:rsid w:val="00913C3B"/>
    <w:rsid w:val="00915509"/>
    <w:rsid w:val="00927388"/>
    <w:rsid w:val="009274FE"/>
    <w:rsid w:val="009401AC"/>
    <w:rsid w:val="0095357D"/>
    <w:rsid w:val="009613AC"/>
    <w:rsid w:val="00961C98"/>
    <w:rsid w:val="00963AA3"/>
    <w:rsid w:val="00980643"/>
    <w:rsid w:val="00992D2C"/>
    <w:rsid w:val="009B61C3"/>
    <w:rsid w:val="009C7B4F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63ABC"/>
    <w:rsid w:val="00A725C2"/>
    <w:rsid w:val="00A769EE"/>
    <w:rsid w:val="00A810A5"/>
    <w:rsid w:val="00A90ACB"/>
    <w:rsid w:val="00A9616A"/>
    <w:rsid w:val="00A96F68"/>
    <w:rsid w:val="00AA2342"/>
    <w:rsid w:val="00AB1CA8"/>
    <w:rsid w:val="00AC6E2F"/>
    <w:rsid w:val="00AD0304"/>
    <w:rsid w:val="00AD27BE"/>
    <w:rsid w:val="00AF0F1A"/>
    <w:rsid w:val="00B06BB8"/>
    <w:rsid w:val="00B15027"/>
    <w:rsid w:val="00B21CF4"/>
    <w:rsid w:val="00B24300"/>
    <w:rsid w:val="00B31426"/>
    <w:rsid w:val="00B37E8B"/>
    <w:rsid w:val="00B403CF"/>
    <w:rsid w:val="00B63F15"/>
    <w:rsid w:val="00B67C08"/>
    <w:rsid w:val="00B7512E"/>
    <w:rsid w:val="00B85A27"/>
    <w:rsid w:val="00BB5F7E"/>
    <w:rsid w:val="00BB6A1C"/>
    <w:rsid w:val="00BC26F6"/>
    <w:rsid w:val="00BD3122"/>
    <w:rsid w:val="00BD40DA"/>
    <w:rsid w:val="00C12468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8062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B88F7-7936-47F7-A12E-A80962D1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123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اکبریان</cp:lastModifiedBy>
  <cp:revision>46</cp:revision>
  <dcterms:created xsi:type="dcterms:W3CDTF">2014-11-18T06:47:00Z</dcterms:created>
  <dcterms:modified xsi:type="dcterms:W3CDTF">2016-04-02T07:21:00Z</dcterms:modified>
</cp:coreProperties>
</file>