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9" w:rsidRPr="00BA4380" w:rsidRDefault="000D46AD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BA438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AE47F9"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AE47F9" w:rsidRPr="00BA4380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B858CB" w:rsidRPr="00BA4380" w:rsidRDefault="00B858CB" w:rsidP="00B858C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858CB" w:rsidRPr="00BA4380" w:rsidRDefault="00B858CB" w:rsidP="00B858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BA4380">
        <w:rPr>
          <w:rFonts w:ascii="IRBadr" w:hAnsi="IRBadr" w:cs="IRBadr"/>
          <w:sz w:val="28"/>
          <w:rtl/>
        </w:rPr>
        <w:fldChar w:fldCharType="begin"/>
      </w:r>
      <w:r w:rsidRPr="00BA4380">
        <w:rPr>
          <w:rFonts w:ascii="IRBadr" w:hAnsi="IRBadr" w:cs="IRBadr"/>
          <w:sz w:val="28"/>
          <w:rtl/>
        </w:rPr>
        <w:instrText xml:space="preserve"> </w:instrText>
      </w:r>
      <w:r w:rsidRPr="00BA4380">
        <w:rPr>
          <w:rFonts w:ascii="IRBadr" w:hAnsi="IRBadr" w:cs="IRBadr"/>
          <w:sz w:val="28"/>
        </w:rPr>
        <w:instrText>TOC</w:instrText>
      </w:r>
      <w:r w:rsidRPr="00BA4380">
        <w:rPr>
          <w:rFonts w:ascii="IRBadr" w:hAnsi="IRBadr" w:cs="IRBadr"/>
          <w:sz w:val="28"/>
          <w:rtl/>
        </w:rPr>
        <w:instrText xml:space="preserve"> \</w:instrText>
      </w:r>
      <w:r w:rsidRPr="00BA4380">
        <w:rPr>
          <w:rFonts w:ascii="IRBadr" w:hAnsi="IRBadr" w:cs="IRBadr"/>
          <w:sz w:val="28"/>
        </w:rPr>
        <w:instrText>o "</w:instrText>
      </w:r>
      <w:r w:rsidRPr="00BA4380">
        <w:rPr>
          <w:rFonts w:ascii="IRBadr" w:hAnsi="IRBadr" w:cs="IRBadr"/>
          <w:sz w:val="28"/>
          <w:rtl/>
        </w:rPr>
        <w:instrText>1-4</w:instrText>
      </w:r>
      <w:r w:rsidRPr="00BA4380">
        <w:rPr>
          <w:rFonts w:ascii="IRBadr" w:hAnsi="IRBadr" w:cs="IRBadr"/>
          <w:sz w:val="28"/>
        </w:rPr>
        <w:instrText>" \h \z \u</w:instrText>
      </w:r>
      <w:r w:rsidRPr="00BA4380">
        <w:rPr>
          <w:rFonts w:ascii="IRBadr" w:hAnsi="IRBadr" w:cs="IRBadr"/>
          <w:sz w:val="28"/>
          <w:rtl/>
        </w:rPr>
        <w:instrText xml:space="preserve"> </w:instrText>
      </w:r>
      <w:r w:rsidRPr="00BA4380">
        <w:rPr>
          <w:rFonts w:ascii="IRBadr" w:hAnsi="IRBadr" w:cs="IRBadr"/>
          <w:sz w:val="28"/>
          <w:rtl/>
        </w:rPr>
        <w:fldChar w:fldCharType="separate"/>
      </w:r>
      <w:hyperlink w:anchor="_Toc427655196" w:history="1">
        <w:r w:rsidRPr="00BA4380">
          <w:rPr>
            <w:rStyle w:val="Hyperlink"/>
            <w:rFonts w:ascii="IRBadr" w:hAnsi="IRBadr" w:cs="IRBadr"/>
            <w:noProof/>
            <w:rtl/>
          </w:rPr>
          <w:t>حد محارب</w:t>
        </w:r>
        <w:r w:rsidRPr="00BA4380">
          <w:rPr>
            <w:rFonts w:ascii="IRBadr" w:hAnsi="IRBadr" w:cs="IRBadr"/>
            <w:noProof/>
            <w:webHidden/>
          </w:rPr>
          <w:tab/>
        </w:r>
        <w:r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BA4380">
          <w:rPr>
            <w:rFonts w:ascii="IRBadr" w:hAnsi="IRBadr" w:cs="IRBadr"/>
            <w:noProof/>
            <w:webHidden/>
          </w:rPr>
          <w:instrText xml:space="preserve"> PAGEREF _Toc427655196 \h </w:instrText>
        </w:r>
        <w:r w:rsidRPr="00BA4380">
          <w:rPr>
            <w:rStyle w:val="Hyperlink"/>
            <w:rFonts w:ascii="IRBadr" w:hAnsi="IRBadr" w:cs="IRBadr"/>
            <w:noProof/>
            <w:rtl/>
          </w:rPr>
        </w:r>
        <w:r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BA4380">
          <w:rPr>
            <w:rFonts w:ascii="IRBadr" w:hAnsi="IRBadr" w:cs="IRBadr"/>
            <w:noProof/>
            <w:webHidden/>
          </w:rPr>
          <w:t>1</w:t>
        </w:r>
        <w:r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97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_Toc427655197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1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98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بخش دوم آیه محارب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_Toc427655198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2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99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معنی فساد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_Toc427655199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2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00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قصد در افساد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_Toc427655200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2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01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جمع‌بندی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_Toc427655201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3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5202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موضوع آیه شریفه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_Toc427655202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3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717950" w:rsidP="00B858C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5203" w:history="1">
        <w:r w:rsidR="00B858CB" w:rsidRPr="00BA4380">
          <w:rPr>
            <w:rStyle w:val="Hyperlink"/>
            <w:rFonts w:ascii="IRBadr" w:hAnsi="IRBadr" w:cs="IRBadr"/>
            <w:noProof/>
            <w:rtl/>
          </w:rPr>
          <w:t>آراء در این فرض</w:t>
        </w:r>
        <w:r w:rsidR="00B858CB" w:rsidRPr="00BA4380">
          <w:rPr>
            <w:rFonts w:ascii="IRBadr" w:hAnsi="IRBadr" w:cs="IRBadr"/>
            <w:noProof/>
            <w:webHidden/>
          </w:rPr>
          <w:tab/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858CB" w:rsidRPr="00BA4380">
          <w:rPr>
            <w:rFonts w:ascii="IRBadr" w:hAnsi="IRBadr" w:cs="IRBadr"/>
            <w:noProof/>
            <w:webHidden/>
          </w:rPr>
          <w:instrText xml:space="preserve"> PAGEREF _Toc427655203 \h </w:instrText>
        </w:r>
        <w:r w:rsidR="00B858CB" w:rsidRPr="00BA4380">
          <w:rPr>
            <w:rStyle w:val="Hyperlink"/>
            <w:rFonts w:ascii="IRBadr" w:hAnsi="IRBadr" w:cs="IRBadr"/>
            <w:noProof/>
            <w:rtl/>
          </w:rPr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858CB" w:rsidRPr="00BA4380">
          <w:rPr>
            <w:rFonts w:ascii="IRBadr" w:hAnsi="IRBadr" w:cs="IRBadr"/>
            <w:noProof/>
            <w:webHidden/>
          </w:rPr>
          <w:t>3</w:t>
        </w:r>
        <w:r w:rsidR="00B858CB" w:rsidRPr="00BA438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858CB" w:rsidRPr="00BA4380" w:rsidRDefault="00B858CB" w:rsidP="00B858C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A4380" w:rsidRDefault="00BA4380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55196"/>
      <w:r>
        <w:rPr>
          <w:rFonts w:ascii="IRBadr" w:hAnsi="IRBadr" w:cs="IRBadr"/>
          <w:rtl/>
        </w:rPr>
        <w:br w:type="page"/>
      </w:r>
    </w:p>
    <w:p w:rsidR="00AE47F9" w:rsidRPr="00BA4380" w:rsidRDefault="00AE47F9" w:rsidP="00AE47F9">
      <w:pPr>
        <w:pStyle w:val="Heading1"/>
        <w:rPr>
          <w:rFonts w:ascii="IRBadr" w:hAnsi="IRBadr" w:cs="IRBadr"/>
          <w:rtl/>
        </w:rPr>
      </w:pPr>
      <w:r w:rsidRPr="00BA4380">
        <w:rPr>
          <w:rFonts w:ascii="IRBadr" w:hAnsi="IRBadr" w:cs="IRBadr"/>
          <w:rtl/>
        </w:rPr>
        <w:lastRenderedPageBreak/>
        <w:t>حد محارب</w:t>
      </w:r>
      <w:bookmarkEnd w:id="1"/>
    </w:p>
    <w:p w:rsidR="00AE47F9" w:rsidRPr="00BA4380" w:rsidRDefault="00AE47F9" w:rsidP="00AE47F9">
      <w:pPr>
        <w:pStyle w:val="Heading1"/>
        <w:rPr>
          <w:rFonts w:ascii="IRBadr" w:hAnsi="IRBadr" w:cs="IRBadr"/>
          <w:rtl/>
        </w:rPr>
      </w:pPr>
      <w:bookmarkStart w:id="2" w:name="_Toc427655197"/>
      <w:r w:rsidRPr="00BA4380">
        <w:rPr>
          <w:rFonts w:ascii="IRBadr" w:hAnsi="IRBadr" w:cs="IRBadr"/>
          <w:rtl/>
        </w:rPr>
        <w:t>مرور بحث پیشین</w:t>
      </w:r>
      <w:bookmarkEnd w:id="2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بحث در آیه شریفه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سی‌ودو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سوره مائده بود که مستند اصلی در باب حد محارب است. آیه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به‌این‌ترتیب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«إِنَّما جَزاءُ الَّذِ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حارِبُونَ اللَّهَ وَ رَسُولَهُ وَ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سْعَوْنَ فِ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الْأَرْضِ فَساداً أَنْ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قَتَّلُوا أَوْ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صَلَّبُوا أَوْ تُقَطَّعَ أَ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دِ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هِمْ وَ أَرْجُلُهُمْ مِنْ خِلافٍ أَوْ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نْفَوْا مِنَ الْأَرْضِ ذلِ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لَهُمْ خِزْ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ا وَ لَهُمْ فِ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الْآخِرَةِ عَذابٌ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عَظِیمٌ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BA4380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در قبال این آیه که در جلسات گذشته محوریت بحث را به خود اختصاص داده بود،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مطالبی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بیان شد.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شد که فقها نیز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افرادی هستند که مشمول این حکم خواهند بود.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این زمینه حکومت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ج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ائر با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که وجود دارد از حکم خارج خواهد شد مگر اینکه از باب تزاحم یا عناوین ثانوی مورد حکم قرار بگیرد.</w:t>
      </w:r>
    </w:p>
    <w:p w:rsidR="00AE47F9" w:rsidRPr="00BA4380" w:rsidRDefault="00AE47F9" w:rsidP="00AE47F9">
      <w:pPr>
        <w:pStyle w:val="Heading2"/>
        <w:rPr>
          <w:rFonts w:ascii="IRBadr" w:hAnsi="IRBadr" w:cs="IRBadr"/>
          <w:rtl/>
        </w:rPr>
      </w:pPr>
      <w:bookmarkStart w:id="3" w:name="_Toc427655198"/>
      <w:r w:rsidRPr="00BA4380">
        <w:rPr>
          <w:rFonts w:ascii="IRBadr" w:hAnsi="IRBadr" w:cs="IRBadr"/>
          <w:rtl/>
        </w:rPr>
        <w:t>بخش دوم آیه محارب</w:t>
      </w:r>
      <w:bookmarkEnd w:id="3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اما بخش دوم این است؛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سْعَوْنَ فِ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الْأَرْضِ فَساداً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این باب نیز نکاتی وجود دارد که باید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و بررسی قرار گیرد؛ سعی بر فساد در ارض با یفسدون مقداری متفاوت است و در مورد اول تأکید بیشتری وجود دارد.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دیگر در این باب این است که صرف افساد با افساد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متفاوت است؛ در تعبیر اول نوعی از اطلاقی وجود دارد و هر نوع افسادی را در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تعبیر دوم نوعی از بروز و شمول و تسری به دیگران وجود دارد،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آیه شریفه در این زمینه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«وَ إِذا تَوَلَّ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سَعی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الْأَرْضِ لِ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فْسِدَ </w:t>
      </w:r>
      <w:r w:rsid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فی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ها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هْلِ</w:t>
      </w:r>
      <w:r w:rsidR="006F06C8"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A438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الْحَرْثَ وَ النَّسْل»</w:t>
      </w:r>
      <w:r w:rsidRPr="00BA4380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بعید نیست بتوان این نکته را از آیه شریفه استفاده نمود.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وقتی در آیه تعبیر به این نحو آورده شده است،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بار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معنایی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را افاده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E47F9" w:rsidRPr="00BA4380" w:rsidRDefault="00AE47F9" w:rsidP="00AE47F9">
      <w:pPr>
        <w:pStyle w:val="Heading2"/>
        <w:rPr>
          <w:rFonts w:ascii="IRBadr" w:hAnsi="IRBadr" w:cs="IRBadr"/>
          <w:rtl/>
        </w:rPr>
      </w:pPr>
      <w:bookmarkStart w:id="4" w:name="_Toc427655199"/>
      <w:r w:rsidRPr="00BA4380">
        <w:rPr>
          <w:rFonts w:ascii="IRBadr" w:hAnsi="IRBadr" w:cs="IRBadr"/>
          <w:rtl/>
        </w:rPr>
        <w:lastRenderedPageBreak/>
        <w:t>معنی فساد</w:t>
      </w:r>
      <w:bookmarkEnd w:id="4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فساد به معنی خروج از حالت اعتدال و انسجام و صحتی است که در شیء وجود دارد،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دنبال هر معصیتی این خروج و خلل حاصل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لذا در پی آن فساد نیز محقق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مفسدی که در این آیه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مطلق عاصی نیست بلکه هیئتی انتظامی و اجتماعی به دنبال آن است که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بدان‌ها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خلل و نقصی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E47F9" w:rsidRPr="00BA4380" w:rsidRDefault="00AE47F9" w:rsidP="00AE47F9">
      <w:pPr>
        <w:pStyle w:val="Heading2"/>
        <w:rPr>
          <w:rFonts w:ascii="IRBadr" w:hAnsi="IRBadr" w:cs="IRBadr"/>
          <w:rtl/>
        </w:rPr>
      </w:pPr>
      <w:bookmarkStart w:id="5" w:name="_Toc427655200"/>
      <w:r w:rsidRPr="00BA4380">
        <w:rPr>
          <w:rFonts w:ascii="IRBadr" w:hAnsi="IRBadr" w:cs="IRBadr"/>
          <w:rtl/>
        </w:rPr>
        <w:t>قصد در افساد</w:t>
      </w:r>
      <w:bookmarkEnd w:id="5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که مشخص است باید در اینجا به دنبال این افساد قصد تخریب وجود داشته باشد،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اگر فردی کاری را از روی غیر قصد انجام داده،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آنگاه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نتیجه آن به تخریب منتهی شده است،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اینجا احکام لازم بر مفسد مترتب نخواهد شد.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حقیقت لزوم احراز قصد برای ترتب اثر امری کاملاً عقلایی است.</w:t>
      </w:r>
    </w:p>
    <w:p w:rsidR="00AE47F9" w:rsidRPr="00BA4380" w:rsidRDefault="000D46AD" w:rsidP="00AE47F9">
      <w:pPr>
        <w:pStyle w:val="Heading2"/>
        <w:rPr>
          <w:rFonts w:ascii="IRBadr" w:hAnsi="IRBadr" w:cs="IRBadr"/>
          <w:rtl/>
        </w:rPr>
      </w:pPr>
      <w:bookmarkStart w:id="6" w:name="_Toc427655201"/>
      <w:r w:rsidRPr="00BA4380">
        <w:rPr>
          <w:rFonts w:ascii="IRBadr" w:hAnsi="IRBadr" w:cs="IRBadr"/>
          <w:rtl/>
        </w:rPr>
        <w:t>جمع‌بندی</w:t>
      </w:r>
      <w:bookmarkEnd w:id="6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نکته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حائز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اهمیت این است که در اینجا برای تحقق عنوان فساد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یادشده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لازم نیست که حتماً جنگی به راه اندازد بلکه مواردی مثل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شایعه‌پراکنی‌ها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سطح جامعه،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پول‌شویی‌های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اقتصادی و... همه و همه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منجر به شکل گرفتن معنای فساد باشد؛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تشهی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سلاح یا اخافه قیودی است که در محارب مورد قصد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و دخالتی در معنای افساد ندارد،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آنچه در اینجا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حائز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اهمیت است انجام عملی توسط فرد است که باعث اخلال و نقصان در نظام اجتماعی جامعه گردد.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محاربه نیز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که گفته شد اعم از براندازی و غیر آن است.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پس از تحلیل مفهوم محارب و مفسد و مقومات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به این نتیجه رسید که بین این دو رابطه عموم و خصوص مطلق برقرار است.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افساد با تعریف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که از محاربه اعم است.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البته در کلمات فقها عامه و خاصه،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محارب است و مفسد در ذیل آن آمده است،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افساد به نحوی مستقل بیان نگشته است.</w:t>
      </w:r>
    </w:p>
    <w:p w:rsidR="00AE47F9" w:rsidRPr="00BA4380" w:rsidRDefault="00AE47F9" w:rsidP="00AE47F9">
      <w:pPr>
        <w:pStyle w:val="Heading3"/>
        <w:rPr>
          <w:rFonts w:ascii="IRBadr" w:hAnsi="IRBadr" w:cs="IRBadr"/>
          <w:rtl/>
        </w:rPr>
      </w:pPr>
      <w:bookmarkStart w:id="7" w:name="_Toc427655202"/>
      <w:r w:rsidRPr="00BA4380">
        <w:rPr>
          <w:rFonts w:ascii="IRBadr" w:hAnsi="IRBadr" w:cs="IRBadr"/>
          <w:rtl/>
        </w:rPr>
        <w:t>موضوع آیه شریفه</w:t>
      </w:r>
      <w:bookmarkEnd w:id="7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اما این سؤال هنوز باقی است که موضوع آیه در اینجا چیست؟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دو جمله در طول آیه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بود که هر دو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در قبال موضوع چند احتمال وجود دارد؛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احتمال ترکیبی بودن موضوع بین دو عنوان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و دو احتمال دیگر این است که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از این دو مورد به نحو مستقل موضوع باشد و عنوان دیگر به دنبال آن معنا پیدا کند.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نکته اساسی که در اینجا وجود دارد،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است که اگر رابطه بین این دو مفهوم در اینجا عموم و خصوص من وجه بود مانعی وجود نداشت،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رابطه مطلق است دیگر این احتمال وجود ندارد که هر دو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به نحو ترکیبی موضوع آیه باشند.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چهار احتمال در اینجا به دو احتمال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E47F9" w:rsidRPr="00BA4380" w:rsidRDefault="00AE47F9" w:rsidP="00AE47F9">
      <w:pPr>
        <w:pStyle w:val="Heading3"/>
        <w:rPr>
          <w:rFonts w:ascii="IRBadr" w:hAnsi="IRBadr" w:cs="IRBadr"/>
          <w:rtl/>
        </w:rPr>
      </w:pPr>
      <w:bookmarkStart w:id="8" w:name="_Toc427655203"/>
      <w:r w:rsidRPr="00BA4380">
        <w:rPr>
          <w:rFonts w:ascii="IRBadr" w:hAnsi="IRBadr" w:cs="IRBadr"/>
          <w:rtl/>
        </w:rPr>
        <w:t>آراء در این فرض</w:t>
      </w:r>
      <w:bookmarkEnd w:id="8"/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4380">
        <w:rPr>
          <w:rFonts w:ascii="IRBadr" w:hAnsi="IRBadr" w:cs="IRBadr"/>
          <w:sz w:val="28"/>
          <w:szCs w:val="28"/>
          <w:rtl/>
          <w:lang w:bidi="fa-IR"/>
        </w:rPr>
        <w:t>ظهور غالب کلمات فقها در این است که موضوع آیه محارب است،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آقای فاضل بیشتر به سمت احتمال دوم یعنی موضوعیت مفسد در آیه تمایل دارند.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این امری است که در موارد قضایی از ثمره زیادی برخوردار است.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که ایشان بر مبنای خود ذکر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آیه قبل است که در آن </w:t>
      </w:r>
      <w:r w:rsidR="000D46AD" w:rsidRPr="00BA4380">
        <w:rPr>
          <w:rFonts w:ascii="IRBadr" w:hAnsi="IRBadr" w:cs="IRBadr"/>
          <w:sz w:val="28"/>
          <w:szCs w:val="28"/>
          <w:rtl/>
          <w:lang w:bidi="fa-IR"/>
        </w:rPr>
        <w:t>بنی‌اسرائیل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 xml:space="preserve"> متصف به فساد در زمین </w:t>
      </w:r>
      <w:r w:rsidR="006F06C8" w:rsidRPr="00BA4380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BA438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E47F9" w:rsidRPr="00BA4380" w:rsidRDefault="00AE47F9" w:rsidP="00AE47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BA438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BA438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50" w:rsidRDefault="00717950" w:rsidP="000D5800">
      <w:pPr>
        <w:spacing w:after="0" w:line="240" w:lineRule="auto"/>
      </w:pPr>
      <w:r>
        <w:separator/>
      </w:r>
    </w:p>
  </w:endnote>
  <w:endnote w:type="continuationSeparator" w:id="0">
    <w:p w:rsidR="00717950" w:rsidRDefault="0071795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50" w:rsidRDefault="00717950" w:rsidP="00B858CB">
      <w:pPr>
        <w:bidi/>
        <w:spacing w:after="0" w:line="240" w:lineRule="auto"/>
      </w:pPr>
      <w:r>
        <w:separator/>
      </w:r>
    </w:p>
  </w:footnote>
  <w:footnote w:type="continuationSeparator" w:id="0">
    <w:p w:rsidR="00717950" w:rsidRDefault="00717950" w:rsidP="000D5800">
      <w:pPr>
        <w:spacing w:after="0" w:line="240" w:lineRule="auto"/>
      </w:pPr>
      <w:r>
        <w:continuationSeparator/>
      </w:r>
    </w:p>
  </w:footnote>
  <w:footnote w:id="1">
    <w:p w:rsidR="00AE47F9" w:rsidRDefault="00AE47F9" w:rsidP="00AE47F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0772B">
        <w:rPr>
          <w:rFonts w:cs="B Badr" w:hint="cs"/>
          <w:rtl/>
        </w:rPr>
        <w:t>33/مائده</w:t>
      </w:r>
    </w:p>
  </w:footnote>
  <w:footnote w:id="2">
    <w:p w:rsidR="00AE47F9" w:rsidRDefault="00AE47F9" w:rsidP="00AE47F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BA3D29">
        <w:rPr>
          <w:rFonts w:cs="B Badr" w:hint="cs"/>
          <w:rtl/>
        </w:rPr>
        <w:t>205/بقره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E47F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78680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E47F9">
      <w:rPr>
        <w:rFonts w:ascii="IranNastaliq" w:hAnsi="IranNastaliq" w:cs="IranNastaliq" w:hint="cs"/>
        <w:sz w:val="40"/>
        <w:szCs w:val="40"/>
        <w:rtl/>
        <w:lang w:bidi="fa-IR"/>
      </w:rPr>
      <w:t>914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46A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BE7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E170A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6F06C8"/>
    <w:rsid w:val="00717950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E47F9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858CB"/>
    <w:rsid w:val="00BA4380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2EE8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9F92-EDC3-4EAE-AE76-FA1B272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50</cp:revision>
  <dcterms:created xsi:type="dcterms:W3CDTF">2014-12-20T10:23:00Z</dcterms:created>
  <dcterms:modified xsi:type="dcterms:W3CDTF">2015-08-18T09:24:00Z</dcterms:modified>
</cp:coreProperties>
</file>