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846E41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AD5ECA" w:rsidRPr="00846E41" w:rsidRDefault="00AD5ECA" w:rsidP="00AD5E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AD5ECA" w:rsidRPr="00846E41" w:rsidRDefault="00AD5ECA" w:rsidP="00AD5EC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r w:rsidRPr="00846E41">
        <w:rPr>
          <w:rFonts w:ascii="IRBadr" w:hAnsi="IRBadr" w:cs="IRBadr"/>
          <w:sz w:val="28"/>
          <w:rtl/>
        </w:rPr>
        <w:fldChar w:fldCharType="begin"/>
      </w:r>
      <w:r w:rsidRPr="00846E41">
        <w:rPr>
          <w:rFonts w:ascii="IRBadr" w:hAnsi="IRBadr" w:cs="IRBadr"/>
          <w:sz w:val="28"/>
          <w:rtl/>
        </w:rPr>
        <w:instrText xml:space="preserve"> </w:instrText>
      </w:r>
      <w:r w:rsidRPr="00846E41">
        <w:rPr>
          <w:rFonts w:ascii="IRBadr" w:hAnsi="IRBadr" w:cs="IRBadr"/>
          <w:sz w:val="28"/>
        </w:rPr>
        <w:instrText>TOC</w:instrText>
      </w:r>
      <w:r w:rsidRPr="00846E41">
        <w:rPr>
          <w:rFonts w:ascii="IRBadr" w:hAnsi="IRBadr" w:cs="IRBadr"/>
          <w:sz w:val="28"/>
          <w:rtl/>
        </w:rPr>
        <w:instrText xml:space="preserve"> \</w:instrText>
      </w:r>
      <w:r w:rsidRPr="00846E41">
        <w:rPr>
          <w:rFonts w:ascii="IRBadr" w:hAnsi="IRBadr" w:cs="IRBadr"/>
          <w:sz w:val="28"/>
        </w:rPr>
        <w:instrText>o "</w:instrText>
      </w:r>
      <w:r w:rsidRPr="00846E41">
        <w:rPr>
          <w:rFonts w:ascii="IRBadr" w:hAnsi="IRBadr" w:cs="IRBadr"/>
          <w:sz w:val="28"/>
          <w:rtl/>
        </w:rPr>
        <w:instrText>1-4</w:instrText>
      </w:r>
      <w:r w:rsidRPr="00846E41">
        <w:rPr>
          <w:rFonts w:ascii="IRBadr" w:hAnsi="IRBadr" w:cs="IRBadr"/>
          <w:sz w:val="28"/>
        </w:rPr>
        <w:instrText>" \h \z \u</w:instrText>
      </w:r>
      <w:r w:rsidRPr="00846E41">
        <w:rPr>
          <w:rFonts w:ascii="IRBadr" w:hAnsi="IRBadr" w:cs="IRBadr"/>
          <w:sz w:val="28"/>
          <w:rtl/>
        </w:rPr>
        <w:instrText xml:space="preserve"> </w:instrText>
      </w:r>
      <w:r w:rsidRPr="00846E41">
        <w:rPr>
          <w:rFonts w:ascii="IRBadr" w:hAnsi="IRBadr" w:cs="IRBadr"/>
          <w:sz w:val="28"/>
          <w:rtl/>
        </w:rPr>
        <w:fldChar w:fldCharType="separate"/>
      </w:r>
      <w:hyperlink w:anchor="_Toc427655266" w:history="1">
        <w:r w:rsidRPr="00846E41">
          <w:rPr>
            <w:rStyle w:val="Hyperlink"/>
            <w:rFonts w:ascii="IRBadr" w:hAnsi="IRBadr" w:cs="IRBadr"/>
            <w:noProof/>
            <w:rtl/>
          </w:rPr>
          <w:t>حد محارب</w:t>
        </w:r>
        <w:r w:rsidRPr="00846E41">
          <w:rPr>
            <w:rFonts w:ascii="IRBadr" w:hAnsi="IRBadr" w:cs="IRBadr"/>
            <w:noProof/>
            <w:webHidden/>
          </w:rPr>
          <w:tab/>
        </w:r>
        <w:r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Pr="00846E41">
          <w:rPr>
            <w:rFonts w:ascii="IRBadr" w:hAnsi="IRBadr" w:cs="IRBadr"/>
            <w:noProof/>
            <w:webHidden/>
          </w:rPr>
          <w:instrText xml:space="preserve"> PAGEREF _Toc427655266 \h </w:instrText>
        </w:r>
        <w:r w:rsidRPr="00846E41">
          <w:rPr>
            <w:rStyle w:val="Hyperlink"/>
            <w:rFonts w:ascii="IRBadr" w:hAnsi="IRBadr" w:cs="IRBadr"/>
            <w:noProof/>
            <w:rtl/>
          </w:rPr>
        </w:r>
        <w:r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Pr="00846E41">
          <w:rPr>
            <w:rFonts w:ascii="IRBadr" w:hAnsi="IRBadr" w:cs="IRBadr"/>
            <w:noProof/>
            <w:webHidden/>
          </w:rPr>
          <w:t>1</w:t>
        </w:r>
        <w:r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DF2735" w:rsidP="00AD5EC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67" w:history="1">
        <w:r w:rsidR="00AD5ECA" w:rsidRPr="00846E41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="00AD5ECA" w:rsidRPr="00846E41">
          <w:rPr>
            <w:rFonts w:ascii="IRBadr" w:hAnsi="IRBadr" w:cs="IRBadr"/>
            <w:noProof/>
            <w:webHidden/>
          </w:rPr>
          <w:tab/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D5ECA" w:rsidRPr="00846E41">
          <w:rPr>
            <w:rFonts w:ascii="IRBadr" w:hAnsi="IRBadr" w:cs="IRBadr"/>
            <w:noProof/>
            <w:webHidden/>
          </w:rPr>
          <w:instrText xml:space="preserve"> PAGEREF _Toc427655267 \h </w:instrText>
        </w:r>
        <w:r w:rsidR="00AD5ECA" w:rsidRPr="00846E41">
          <w:rPr>
            <w:rStyle w:val="Hyperlink"/>
            <w:rFonts w:ascii="IRBadr" w:hAnsi="IRBadr" w:cs="IRBadr"/>
            <w:noProof/>
            <w:rtl/>
          </w:rPr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D5ECA" w:rsidRPr="00846E41">
          <w:rPr>
            <w:rFonts w:ascii="IRBadr" w:hAnsi="IRBadr" w:cs="IRBadr"/>
            <w:noProof/>
            <w:webHidden/>
          </w:rPr>
          <w:t>1</w:t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DF2735" w:rsidP="00AD5ECA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68" w:history="1">
        <w:r w:rsidR="00AD5ECA" w:rsidRPr="00846E41">
          <w:rPr>
            <w:rStyle w:val="Hyperlink"/>
            <w:rFonts w:ascii="IRBadr" w:hAnsi="IRBadr" w:cs="IRBadr"/>
            <w:noProof/>
            <w:rtl/>
          </w:rPr>
          <w:t>مؤید و مبعد احتمال دوم</w:t>
        </w:r>
        <w:r w:rsidR="00AD5ECA" w:rsidRPr="00846E41">
          <w:rPr>
            <w:rFonts w:ascii="IRBadr" w:hAnsi="IRBadr" w:cs="IRBadr"/>
            <w:noProof/>
            <w:webHidden/>
          </w:rPr>
          <w:tab/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D5ECA" w:rsidRPr="00846E41">
          <w:rPr>
            <w:rFonts w:ascii="IRBadr" w:hAnsi="IRBadr" w:cs="IRBadr"/>
            <w:noProof/>
            <w:webHidden/>
          </w:rPr>
          <w:instrText xml:space="preserve"> PAGEREF _Toc427655268 \h </w:instrText>
        </w:r>
        <w:r w:rsidR="00AD5ECA" w:rsidRPr="00846E41">
          <w:rPr>
            <w:rStyle w:val="Hyperlink"/>
            <w:rFonts w:ascii="IRBadr" w:hAnsi="IRBadr" w:cs="IRBadr"/>
            <w:noProof/>
            <w:rtl/>
          </w:rPr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D5ECA" w:rsidRPr="00846E41">
          <w:rPr>
            <w:rFonts w:ascii="IRBadr" w:hAnsi="IRBadr" w:cs="IRBadr"/>
            <w:noProof/>
            <w:webHidden/>
          </w:rPr>
          <w:t>2</w:t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DF2735" w:rsidP="00AD5EC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69" w:history="1">
        <w:r w:rsidR="00AD5ECA" w:rsidRPr="00846E41">
          <w:rPr>
            <w:rStyle w:val="Hyperlink"/>
            <w:rFonts w:ascii="IRBadr" w:hAnsi="IRBadr" w:cs="IRBadr"/>
            <w:noProof/>
            <w:rtl/>
          </w:rPr>
          <w:t>پاسخ به مناقشه دیگر</w:t>
        </w:r>
        <w:r w:rsidR="00AD5ECA" w:rsidRPr="00846E41">
          <w:rPr>
            <w:rFonts w:ascii="IRBadr" w:hAnsi="IRBadr" w:cs="IRBadr"/>
            <w:noProof/>
            <w:webHidden/>
          </w:rPr>
          <w:tab/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D5ECA" w:rsidRPr="00846E41">
          <w:rPr>
            <w:rFonts w:ascii="IRBadr" w:hAnsi="IRBadr" w:cs="IRBadr"/>
            <w:noProof/>
            <w:webHidden/>
          </w:rPr>
          <w:instrText xml:space="preserve"> PAGEREF _Toc427655269 \h </w:instrText>
        </w:r>
        <w:r w:rsidR="00AD5ECA" w:rsidRPr="00846E41">
          <w:rPr>
            <w:rStyle w:val="Hyperlink"/>
            <w:rFonts w:ascii="IRBadr" w:hAnsi="IRBadr" w:cs="IRBadr"/>
            <w:noProof/>
            <w:rtl/>
          </w:rPr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D5ECA" w:rsidRPr="00846E41">
          <w:rPr>
            <w:rFonts w:ascii="IRBadr" w:hAnsi="IRBadr" w:cs="IRBadr"/>
            <w:noProof/>
            <w:webHidden/>
          </w:rPr>
          <w:t>2</w:t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DF2735" w:rsidP="00AD5EC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70" w:history="1">
        <w:r w:rsidR="00AD5ECA" w:rsidRPr="00846E41">
          <w:rPr>
            <w:rStyle w:val="Hyperlink"/>
            <w:rFonts w:ascii="IRBadr" w:hAnsi="IRBadr" w:cs="IRBadr"/>
            <w:noProof/>
            <w:rtl/>
          </w:rPr>
          <w:t>تقویت احتمال محاربه</w:t>
        </w:r>
        <w:r w:rsidR="00AD5ECA" w:rsidRPr="00846E41">
          <w:rPr>
            <w:rFonts w:ascii="IRBadr" w:hAnsi="IRBadr" w:cs="IRBadr"/>
            <w:noProof/>
            <w:webHidden/>
          </w:rPr>
          <w:tab/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D5ECA" w:rsidRPr="00846E41">
          <w:rPr>
            <w:rFonts w:ascii="IRBadr" w:hAnsi="IRBadr" w:cs="IRBadr"/>
            <w:noProof/>
            <w:webHidden/>
          </w:rPr>
          <w:instrText xml:space="preserve"> PAGEREF _Toc427655270 \h </w:instrText>
        </w:r>
        <w:r w:rsidR="00AD5ECA" w:rsidRPr="00846E41">
          <w:rPr>
            <w:rStyle w:val="Hyperlink"/>
            <w:rFonts w:ascii="IRBadr" w:hAnsi="IRBadr" w:cs="IRBadr"/>
            <w:noProof/>
            <w:rtl/>
          </w:rPr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D5ECA" w:rsidRPr="00846E41">
          <w:rPr>
            <w:rFonts w:ascii="IRBadr" w:hAnsi="IRBadr" w:cs="IRBadr"/>
            <w:noProof/>
            <w:webHidden/>
          </w:rPr>
          <w:t>3</w:t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DF2735" w:rsidP="00AD5EC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71" w:history="1">
        <w:r w:rsidR="00AD5ECA" w:rsidRPr="00846E41">
          <w:rPr>
            <w:rStyle w:val="Hyperlink"/>
            <w:rFonts w:ascii="IRBadr" w:hAnsi="IRBadr" w:cs="IRBadr"/>
            <w:noProof/>
            <w:rtl/>
          </w:rPr>
          <w:t>روایت اول</w:t>
        </w:r>
        <w:r w:rsidR="00AD5ECA" w:rsidRPr="00846E41">
          <w:rPr>
            <w:rFonts w:ascii="IRBadr" w:hAnsi="IRBadr" w:cs="IRBadr"/>
            <w:noProof/>
            <w:webHidden/>
          </w:rPr>
          <w:tab/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D5ECA" w:rsidRPr="00846E41">
          <w:rPr>
            <w:rFonts w:ascii="IRBadr" w:hAnsi="IRBadr" w:cs="IRBadr"/>
            <w:noProof/>
            <w:webHidden/>
          </w:rPr>
          <w:instrText xml:space="preserve"> PAGEREF _Toc427655271 \h </w:instrText>
        </w:r>
        <w:r w:rsidR="00AD5ECA" w:rsidRPr="00846E41">
          <w:rPr>
            <w:rStyle w:val="Hyperlink"/>
            <w:rFonts w:ascii="IRBadr" w:hAnsi="IRBadr" w:cs="IRBadr"/>
            <w:noProof/>
            <w:rtl/>
          </w:rPr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D5ECA" w:rsidRPr="00846E41">
          <w:rPr>
            <w:rFonts w:ascii="IRBadr" w:hAnsi="IRBadr" w:cs="IRBadr"/>
            <w:noProof/>
            <w:webHidden/>
          </w:rPr>
          <w:t>3</w:t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DF2735" w:rsidP="00AD5EC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72" w:history="1">
        <w:r w:rsidR="00AD5ECA" w:rsidRPr="00846E41">
          <w:rPr>
            <w:rStyle w:val="Hyperlink"/>
            <w:rFonts w:ascii="IRBadr" w:hAnsi="IRBadr" w:cs="IRBadr"/>
            <w:noProof/>
            <w:rtl/>
          </w:rPr>
          <w:t>پاسخ از روایت فوق</w:t>
        </w:r>
        <w:r w:rsidR="00AD5ECA" w:rsidRPr="00846E41">
          <w:rPr>
            <w:rFonts w:ascii="IRBadr" w:hAnsi="IRBadr" w:cs="IRBadr"/>
            <w:noProof/>
            <w:webHidden/>
          </w:rPr>
          <w:tab/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D5ECA" w:rsidRPr="00846E41">
          <w:rPr>
            <w:rFonts w:ascii="IRBadr" w:hAnsi="IRBadr" w:cs="IRBadr"/>
            <w:noProof/>
            <w:webHidden/>
          </w:rPr>
          <w:instrText xml:space="preserve"> PAGEREF _Toc427655272 \h </w:instrText>
        </w:r>
        <w:r w:rsidR="00AD5ECA" w:rsidRPr="00846E41">
          <w:rPr>
            <w:rStyle w:val="Hyperlink"/>
            <w:rFonts w:ascii="IRBadr" w:hAnsi="IRBadr" w:cs="IRBadr"/>
            <w:noProof/>
            <w:rtl/>
          </w:rPr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D5ECA" w:rsidRPr="00846E41">
          <w:rPr>
            <w:rFonts w:ascii="IRBadr" w:hAnsi="IRBadr" w:cs="IRBadr"/>
            <w:noProof/>
            <w:webHidden/>
          </w:rPr>
          <w:t>3</w:t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DF2735" w:rsidP="00AD5EC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73" w:history="1">
        <w:r w:rsidR="00AD5ECA" w:rsidRPr="00846E41">
          <w:rPr>
            <w:rStyle w:val="Hyperlink"/>
            <w:rFonts w:ascii="IRBadr" w:hAnsi="IRBadr" w:cs="IRBadr"/>
            <w:noProof/>
            <w:rtl/>
          </w:rPr>
          <w:t>وجه چهارم استبعاد</w:t>
        </w:r>
        <w:r w:rsidR="00AD5ECA" w:rsidRPr="00846E41">
          <w:rPr>
            <w:rFonts w:ascii="IRBadr" w:hAnsi="IRBadr" w:cs="IRBadr"/>
            <w:noProof/>
            <w:webHidden/>
          </w:rPr>
          <w:tab/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D5ECA" w:rsidRPr="00846E41">
          <w:rPr>
            <w:rFonts w:ascii="IRBadr" w:hAnsi="IRBadr" w:cs="IRBadr"/>
            <w:noProof/>
            <w:webHidden/>
          </w:rPr>
          <w:instrText xml:space="preserve"> PAGEREF _Toc427655273 \h </w:instrText>
        </w:r>
        <w:r w:rsidR="00AD5ECA" w:rsidRPr="00846E41">
          <w:rPr>
            <w:rStyle w:val="Hyperlink"/>
            <w:rFonts w:ascii="IRBadr" w:hAnsi="IRBadr" w:cs="IRBadr"/>
            <w:noProof/>
            <w:rtl/>
          </w:rPr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D5ECA" w:rsidRPr="00846E41">
          <w:rPr>
            <w:rFonts w:ascii="IRBadr" w:hAnsi="IRBadr" w:cs="IRBadr"/>
            <w:noProof/>
            <w:webHidden/>
          </w:rPr>
          <w:t>4</w:t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DF2735" w:rsidP="00AD5EC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74" w:history="1">
        <w:r w:rsidR="00AD5ECA" w:rsidRPr="00846E41">
          <w:rPr>
            <w:rStyle w:val="Hyperlink"/>
            <w:rFonts w:ascii="IRBadr" w:hAnsi="IRBadr" w:cs="IRBadr"/>
            <w:noProof/>
            <w:rtl/>
          </w:rPr>
          <w:t>مناقشه در استدلال فوق</w:t>
        </w:r>
        <w:r w:rsidR="00AD5ECA" w:rsidRPr="00846E41">
          <w:rPr>
            <w:rFonts w:ascii="IRBadr" w:hAnsi="IRBadr" w:cs="IRBadr"/>
            <w:noProof/>
            <w:webHidden/>
          </w:rPr>
          <w:tab/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D5ECA" w:rsidRPr="00846E41">
          <w:rPr>
            <w:rFonts w:ascii="IRBadr" w:hAnsi="IRBadr" w:cs="IRBadr"/>
            <w:noProof/>
            <w:webHidden/>
          </w:rPr>
          <w:instrText xml:space="preserve"> PAGEREF _Toc427655274 \h </w:instrText>
        </w:r>
        <w:r w:rsidR="00AD5ECA" w:rsidRPr="00846E41">
          <w:rPr>
            <w:rStyle w:val="Hyperlink"/>
            <w:rFonts w:ascii="IRBadr" w:hAnsi="IRBadr" w:cs="IRBadr"/>
            <w:noProof/>
            <w:rtl/>
          </w:rPr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D5ECA" w:rsidRPr="00846E41">
          <w:rPr>
            <w:rFonts w:ascii="IRBadr" w:hAnsi="IRBadr" w:cs="IRBadr"/>
            <w:noProof/>
            <w:webHidden/>
          </w:rPr>
          <w:t>4</w:t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DF2735" w:rsidP="00AD5EC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75" w:history="1">
        <w:r w:rsidR="00AD5ECA" w:rsidRPr="00846E41">
          <w:rPr>
            <w:rStyle w:val="Hyperlink"/>
            <w:rFonts w:ascii="IRBadr" w:hAnsi="IRBadr" w:cs="IRBadr"/>
            <w:noProof/>
            <w:rtl/>
          </w:rPr>
          <w:t>قاعده درع در این مقام</w:t>
        </w:r>
        <w:r w:rsidR="00AD5ECA" w:rsidRPr="00846E41">
          <w:rPr>
            <w:rFonts w:ascii="IRBadr" w:hAnsi="IRBadr" w:cs="IRBadr"/>
            <w:noProof/>
            <w:webHidden/>
          </w:rPr>
          <w:tab/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D5ECA" w:rsidRPr="00846E41">
          <w:rPr>
            <w:rFonts w:ascii="IRBadr" w:hAnsi="IRBadr" w:cs="IRBadr"/>
            <w:noProof/>
            <w:webHidden/>
          </w:rPr>
          <w:instrText xml:space="preserve"> PAGEREF _Toc427655275 \h </w:instrText>
        </w:r>
        <w:r w:rsidR="00AD5ECA" w:rsidRPr="00846E41">
          <w:rPr>
            <w:rStyle w:val="Hyperlink"/>
            <w:rFonts w:ascii="IRBadr" w:hAnsi="IRBadr" w:cs="IRBadr"/>
            <w:noProof/>
            <w:rtl/>
          </w:rPr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D5ECA" w:rsidRPr="00846E41">
          <w:rPr>
            <w:rFonts w:ascii="IRBadr" w:hAnsi="IRBadr" w:cs="IRBadr"/>
            <w:noProof/>
            <w:webHidden/>
          </w:rPr>
          <w:t>4</w:t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DF2735" w:rsidP="00AD5ECA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</w:rPr>
      </w:pPr>
      <w:hyperlink w:anchor="_Toc427655276" w:history="1">
        <w:r w:rsidR="00846E41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AD5ECA" w:rsidRPr="00846E41">
          <w:rPr>
            <w:rFonts w:ascii="IRBadr" w:hAnsi="IRBadr" w:cs="IRBadr"/>
            <w:noProof/>
            <w:webHidden/>
          </w:rPr>
          <w:tab/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AD5ECA" w:rsidRPr="00846E41">
          <w:rPr>
            <w:rFonts w:ascii="IRBadr" w:hAnsi="IRBadr" w:cs="IRBadr"/>
            <w:noProof/>
            <w:webHidden/>
          </w:rPr>
          <w:instrText xml:space="preserve"> PAGEREF _Toc427655276 \h </w:instrText>
        </w:r>
        <w:r w:rsidR="00AD5ECA" w:rsidRPr="00846E41">
          <w:rPr>
            <w:rStyle w:val="Hyperlink"/>
            <w:rFonts w:ascii="IRBadr" w:hAnsi="IRBadr" w:cs="IRBadr"/>
            <w:noProof/>
            <w:rtl/>
          </w:rPr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AD5ECA" w:rsidRPr="00846E41">
          <w:rPr>
            <w:rFonts w:ascii="IRBadr" w:hAnsi="IRBadr" w:cs="IRBadr"/>
            <w:noProof/>
            <w:webHidden/>
          </w:rPr>
          <w:t>4</w:t>
        </w:r>
        <w:r w:rsidR="00AD5ECA" w:rsidRPr="00846E41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AD5ECA" w:rsidRPr="00846E41" w:rsidRDefault="00AD5ECA" w:rsidP="00AD5E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846E41" w:rsidRDefault="00846E41">
      <w:pPr>
        <w:spacing w:after="0" w:line="240" w:lineRule="auto"/>
        <w:rPr>
          <w:rFonts w:ascii="IRBadr" w:eastAsia="2  Lotus" w:hAnsi="IRBadr" w:cs="IRBadr"/>
          <w:bCs/>
          <w:sz w:val="28"/>
          <w:szCs w:val="44"/>
          <w:rtl/>
          <w:lang w:bidi="fa-IR"/>
        </w:rPr>
      </w:pPr>
      <w:bookmarkStart w:id="1" w:name="_Toc427655266"/>
      <w:r>
        <w:rPr>
          <w:rFonts w:ascii="IRBadr" w:hAnsi="IRBadr" w:cs="IRBadr"/>
          <w:rtl/>
        </w:rPr>
        <w:br w:type="page"/>
      </w:r>
    </w:p>
    <w:p w:rsidR="00882483" w:rsidRPr="00846E41" w:rsidRDefault="00882483" w:rsidP="00882483">
      <w:pPr>
        <w:pStyle w:val="Heading1"/>
        <w:rPr>
          <w:rFonts w:ascii="IRBadr" w:hAnsi="IRBadr" w:cs="IRBadr"/>
          <w:rtl/>
        </w:rPr>
      </w:pPr>
      <w:r w:rsidRPr="00846E41">
        <w:rPr>
          <w:rFonts w:ascii="IRBadr" w:hAnsi="IRBadr" w:cs="IRBadr"/>
          <w:rtl/>
        </w:rPr>
        <w:lastRenderedPageBreak/>
        <w:t>حد محارب</w:t>
      </w:r>
      <w:bookmarkEnd w:id="1"/>
    </w:p>
    <w:p w:rsidR="00882483" w:rsidRPr="00846E41" w:rsidRDefault="00882483" w:rsidP="00882483">
      <w:pPr>
        <w:pStyle w:val="Heading1"/>
        <w:rPr>
          <w:rFonts w:ascii="IRBadr" w:hAnsi="IRBadr" w:cs="IRBadr"/>
          <w:rtl/>
        </w:rPr>
      </w:pPr>
      <w:bookmarkStart w:id="2" w:name="_Toc427655267"/>
      <w:r w:rsidRPr="00846E41">
        <w:rPr>
          <w:rFonts w:ascii="IRBadr" w:hAnsi="IRBadr" w:cs="IRBadr"/>
          <w:rtl/>
        </w:rPr>
        <w:t>مرور بحث گذشته</w:t>
      </w:r>
      <w:bookmarkEnd w:id="2"/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>گفته شد اصل در بحث موجود آیه شریفه سوره مائده است،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مفردات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آیه مورد بررسی قرار گرفت،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قبال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رابطه‌ای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که این دو مفهوم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می‌توانند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داشته باشند مطالبی بیان شد و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درنهایت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این نتیجه حاصل شد که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رابطه این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دو عموم و خصوص مطلق است.</w:t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در قبال موضوعیت فساد و محارب اقوالی وجود داشت که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درنهایت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قول به موضوعیت فساد تقویت شد و به مناقشاتی که در این زمینه مطرح شده بود،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پاسخ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داده شد.</w:t>
      </w:r>
    </w:p>
    <w:p w:rsidR="00882483" w:rsidRPr="00846E41" w:rsidRDefault="00882483" w:rsidP="00882483">
      <w:pPr>
        <w:pStyle w:val="Heading1"/>
        <w:rPr>
          <w:rFonts w:ascii="IRBadr" w:hAnsi="IRBadr" w:cs="IRBadr"/>
          <w:rtl/>
        </w:rPr>
      </w:pPr>
      <w:bookmarkStart w:id="3" w:name="_Toc427655268"/>
      <w:r w:rsidRPr="00846E41">
        <w:rPr>
          <w:rFonts w:ascii="IRBadr" w:hAnsi="IRBadr" w:cs="IRBadr"/>
          <w:rtl/>
        </w:rPr>
        <w:t>مؤید و مبعد احتمال دوم</w:t>
      </w:r>
      <w:bookmarkEnd w:id="3"/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>احتمال دوم دو مؤید داشت؛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یکی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اینکه از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آیه سابق این آیه است که در آن فساد در زمین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مجوزی برای قتل برشمرده شده است،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مؤید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دوم نیز این بود که در مواردی که رابطه دو مفهوم عموم و خصوص مطلق است،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محوریت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از آن امر مطلق است که در اینجا همان فساد در زمین است.</w:t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مبعداتی نیز در این باب مطرح شد که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اشکال آقای تبریزی به این احتمال بود،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این توضیح که اگر مراد فساد در زمین با اطلاق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مدنظر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باشد،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محظوری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جهت عمل به این اطلاق وجود خواهد داشت و آن،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عمومیت معنای فساد در بین افراد بشر است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به‌نوعی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که هر عصیانی فساد به حساب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لذا لازم است که معمول افراد مشمول این حکم شوند. اما از این احتمال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به‌واسطه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تبیین صحیح معنای افساد که همان دربر گیری موارد اختلال نظام بود پاسخ داده شد.</w:t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مبعدات دیگری نیز مطرح گشت که به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پاسخ داده شد.</w:t>
      </w:r>
    </w:p>
    <w:p w:rsidR="00882483" w:rsidRPr="00846E41" w:rsidRDefault="00882483" w:rsidP="00882483">
      <w:pPr>
        <w:pStyle w:val="Heading2"/>
        <w:rPr>
          <w:rFonts w:ascii="IRBadr" w:hAnsi="IRBadr" w:cs="IRBadr"/>
          <w:rtl/>
        </w:rPr>
      </w:pPr>
      <w:bookmarkStart w:id="4" w:name="_Toc427655269"/>
      <w:r w:rsidRPr="00846E41">
        <w:rPr>
          <w:rFonts w:ascii="IRBadr" w:hAnsi="IRBadr" w:cs="IRBadr"/>
          <w:rtl/>
        </w:rPr>
        <w:t>پاسخ به مناقشه دیگر</w:t>
      </w:r>
      <w:bookmarkEnd w:id="4"/>
    </w:p>
    <w:p w:rsidR="00882483" w:rsidRPr="00846E41" w:rsidRDefault="00846E41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مناقشه‌ای</w:t>
      </w:r>
      <w:r w:rsidR="00882483" w:rsidRPr="00846E41">
        <w:rPr>
          <w:rFonts w:ascii="IRBadr" w:hAnsi="IRBadr" w:cs="IRBadr"/>
          <w:sz w:val="28"/>
          <w:szCs w:val="28"/>
          <w:rtl/>
          <w:lang w:bidi="fa-IR"/>
        </w:rPr>
        <w:t xml:space="preserve"> در جلسه سابق مطرح شد که طبق آنچه ادعا شد لازم است گفته شود کسانی که با نبی خدا (ص) جنگیدند،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882483" w:rsidRPr="00846E41">
        <w:rPr>
          <w:rFonts w:ascii="IRBadr" w:hAnsi="IRBadr" w:cs="IRBadr"/>
          <w:sz w:val="28"/>
          <w:szCs w:val="28"/>
          <w:rtl/>
          <w:lang w:bidi="fa-IR"/>
        </w:rPr>
        <w:t xml:space="preserve"> مشمول احکام آیه شریفه شوند،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882483" w:rsidRPr="00846E41">
        <w:rPr>
          <w:rFonts w:ascii="IRBadr" w:hAnsi="IRBadr" w:cs="IRBadr"/>
          <w:sz w:val="28"/>
          <w:szCs w:val="28"/>
          <w:rtl/>
          <w:lang w:bidi="fa-IR"/>
        </w:rPr>
        <w:t xml:space="preserve"> در حالی است که تاریخ بدین مضمون نقلی نداشته است.</w:t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>اما پاسخ از این اشکال به آیه دیگری است که در آن فرموده شده؛</w:t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«فَإِذا لَقِ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تُمُ الَّذِ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فَرُوا فَضَرْبَ الرِّقابِ حَتَّ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إِذا أَثْخَنْتُمُوهُمْ فَشُدُّوا الْوَثاقَ فَإِمَّا مَنًّا بَعْدُ وَ إِمَّا فِداءً حَتَّ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تَضَعَ الْحَرْبُ أَوْزارَها ذلِ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لَوْ 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شاءُ اللَّهُ لَانْتَصَرَ مِنْهُمْ وَ ل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نْ لِ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بْلُوَا بَعْضَ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مْ بِبَعْضٍ وَ الَّذِ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نَ قُتِلُوا فِ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سَبِ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لِ اللَّهِ فَلَنْ 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ضِلَّ أَعْمالَهُم»</w:t>
      </w:r>
      <w:r w:rsidRPr="00846E41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آن احکام حکم را تقیید زد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بدین‌صورت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که برای این افراد احکام مستقلی در نظر گرفته شده بود و برایشان تفدیه یا امور تخییری دیگری در نظر گرفته شد.</w:t>
      </w:r>
    </w:p>
    <w:p w:rsidR="00882483" w:rsidRPr="00846E41" w:rsidRDefault="00882483" w:rsidP="00882483">
      <w:pPr>
        <w:pStyle w:val="Heading2"/>
        <w:rPr>
          <w:rFonts w:ascii="IRBadr" w:hAnsi="IRBadr" w:cs="IRBadr"/>
          <w:rtl/>
        </w:rPr>
      </w:pPr>
      <w:bookmarkStart w:id="5" w:name="_Toc427655270"/>
      <w:r w:rsidRPr="00846E41">
        <w:rPr>
          <w:rFonts w:ascii="IRBadr" w:hAnsi="IRBadr" w:cs="IRBadr"/>
          <w:rtl/>
        </w:rPr>
        <w:t>تقویت احتمال محاربه</w:t>
      </w:r>
      <w:bookmarkEnd w:id="5"/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وجه سومی که می‌شود ذکر کرد این است که ما وقتی به روایات مراجعه می‌کنیم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می‌بینیم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همه روایات آیه را به سمت معنای محارب پیش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می‌برد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>. این روایات در جلد هیجده اب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واب حد محارب، صفحه پانصد و سی</w:t>
      </w:r>
      <w:r w:rsidR="00846E41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و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>دو در طی چندین روایت مطرح شده است.</w:t>
      </w:r>
    </w:p>
    <w:p w:rsidR="00882483" w:rsidRPr="00846E41" w:rsidRDefault="00882483" w:rsidP="00882483">
      <w:pPr>
        <w:pStyle w:val="Heading2"/>
        <w:rPr>
          <w:rFonts w:ascii="IRBadr" w:hAnsi="IRBadr" w:cs="IRBadr"/>
          <w:rtl/>
        </w:rPr>
      </w:pPr>
      <w:bookmarkStart w:id="6" w:name="_Toc427655271"/>
      <w:r w:rsidRPr="00846E41">
        <w:rPr>
          <w:rFonts w:ascii="IRBadr" w:hAnsi="IRBadr" w:cs="IRBadr"/>
          <w:rtl/>
        </w:rPr>
        <w:t>روایت اول</w:t>
      </w:r>
      <w:bookmarkEnd w:id="6"/>
    </w:p>
    <w:p w:rsidR="00882483" w:rsidRPr="00846E41" w:rsidRDefault="00882483" w:rsidP="00882483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وَ عَنْهُ عَنْ أَبِ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عَنْ عَمْرِو بْنِ عُثْمَانَ عَنْ عُبَ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دِ اللَّهِ الْمَدَائِنِ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أَبِ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الْحَسَنِ الرِّضَا ع قَالَ: سُئِلَ عَنْ قَوْلِ اللَّهِ عَزَّ وَ جَلَّ إِنَّما جَزاءُ الَّذِ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حارِبُونَ اللّهَ وَ رَسُولَهُ- وَ 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سْعَوْنَ </w:t>
      </w:r>
      <w:r w:rsid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فی‌الارض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فَساداً - الْآ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ةَ فَمَا الَّذِ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إِذَا فَعَلَهُ اسْتَوْجَبَ وَاحِدَةً مِنْ هَذِهِ الْأَرْبَعِ- فَقَالَ إِذَا حَارَبَ اللَّهَ وَ رَسُولَهُ- وَ سَعَ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فی‌الارض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فَسَاداً فَقَتَلَ قُتِلَ بِهِ- وَ إِنْ قَتَلَ وَ أَخَذَ الْمَالَ قُتِلَ وَ صُلِبَ- وَ إِنْ أَخَذَ الْمَالَ وَ لَمْ 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قْتُلْ- قُطِعَتْ 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دُهُ وَ رِجْلُهُ مِنْ خِلَافٍ- وَ إِنْ شَهَرَ السَّ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فَ وَ حَارَبَ اللَّهَ وَ رَسُولَهُ- وَ سَعَ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فی‌الارض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فَسَاداً- وَ لَمْ 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قْتُلْ وَ لَمْ 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أْخُذِ الْمَالَ نُفِ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مِنَ الْأَرْضِ الْحَدِ</w:t>
      </w:r>
      <w:r w:rsidR="00306CEA"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ثَ.»</w:t>
      </w:r>
      <w:r w:rsidRPr="00846E41">
        <w:rPr>
          <w:rFonts w:ascii="IRBadr" w:hAnsi="IRBadr" w:cs="IRBadr"/>
          <w:b/>
          <w:bCs/>
          <w:color w:val="000000" w:themeColor="text1"/>
          <w:sz w:val="28"/>
          <w:szCs w:val="28"/>
          <w:vertAlign w:val="superscript"/>
          <w:rtl/>
        </w:rPr>
        <w:footnoteReference w:id="2"/>
      </w:r>
    </w:p>
    <w:p w:rsidR="00882483" w:rsidRPr="00846E41" w:rsidRDefault="00882483" w:rsidP="00882483">
      <w:pPr>
        <w:pStyle w:val="Heading2"/>
        <w:rPr>
          <w:rFonts w:ascii="IRBadr" w:hAnsi="IRBadr" w:cs="IRBadr"/>
          <w:rtl/>
        </w:rPr>
      </w:pPr>
      <w:bookmarkStart w:id="7" w:name="_Toc427655272"/>
      <w:r w:rsidRPr="00846E41">
        <w:rPr>
          <w:rFonts w:ascii="IRBadr" w:hAnsi="IRBadr" w:cs="IRBadr"/>
          <w:rtl/>
        </w:rPr>
        <w:t>پاسخ از روایت فوق</w:t>
      </w:r>
      <w:bookmarkEnd w:id="7"/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در قبال این آیه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جواب داد که؛</w:t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lastRenderedPageBreak/>
        <w:t>در برخی از آیات دیگر روایات تفسیری وارد شده است که در ذیل آن مصادیقی از آیه بیان شده است که ظاهر امر دلالت بر حصر موارد دارد،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در حقیقت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نیست،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ازاین‌گونه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موارد آیه شریفه تحیت است که؛</w:t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«وَ إِذا حُ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تُمْ بِتَحِ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ةٍ فَحَ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وا بِأَحْسَنَ مِنْها أَوْ رُدُّوها إِنَّ اللَّهَ 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انَ 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عَلی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لِّ 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شَی‌ءٍ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حَسِ</w:t>
      </w:r>
      <w:r w:rsidR="00306CEA"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846E41">
        <w:rPr>
          <w:rFonts w:ascii="IRBadr" w:hAnsi="IRBadr" w:cs="IRBadr"/>
          <w:b/>
          <w:bCs/>
          <w:sz w:val="28"/>
          <w:szCs w:val="28"/>
          <w:rtl/>
          <w:lang w:bidi="fa-IR"/>
        </w:rPr>
        <w:t>باً.»</w:t>
      </w:r>
      <w:r w:rsidRPr="00846E41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3"/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که آیه دارای اطلاق است و موارد تحیت لسانی و غیر آن را در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>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روایتی در ذیل آن وارد شده که تحیت را به سلام تفسیر نموده است. در قبال آیه مورد بحث نیز باید گفت؛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جایی روایتی که مصادیق آیه را حصر کند وجود ندارد مگر همان روایتی که بیان شد که این نیز به نحوی قابل جواب است.</w:t>
      </w:r>
    </w:p>
    <w:p w:rsidR="00882483" w:rsidRPr="00846E41" w:rsidRDefault="00882483" w:rsidP="00882483">
      <w:pPr>
        <w:pStyle w:val="Heading2"/>
        <w:rPr>
          <w:rFonts w:ascii="IRBadr" w:hAnsi="IRBadr" w:cs="IRBadr"/>
          <w:rtl/>
        </w:rPr>
      </w:pPr>
      <w:bookmarkStart w:id="8" w:name="_Toc427655273"/>
      <w:r w:rsidRPr="00846E41">
        <w:rPr>
          <w:rFonts w:ascii="IRBadr" w:hAnsi="IRBadr" w:cs="IRBadr"/>
          <w:rtl/>
        </w:rPr>
        <w:t>وجه چهارم استبعاد</w:t>
      </w:r>
      <w:bookmarkEnd w:id="8"/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>وجه دیگری در این زمینه ذکر شده که بیشتر جنبه استحسانی دارد،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مبنی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بر اینکه بسیار بعید است که بگوییم اگر فرد به هر نوع عملیات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غیرمسلحانه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اگر دست بزند،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مستوجب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عقاب‌های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بیان شده در آیه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82483" w:rsidRPr="00846E41" w:rsidRDefault="00882483" w:rsidP="00882483">
      <w:pPr>
        <w:pStyle w:val="Heading2"/>
        <w:rPr>
          <w:rFonts w:ascii="IRBadr" w:hAnsi="IRBadr" w:cs="IRBadr"/>
          <w:rtl/>
        </w:rPr>
      </w:pPr>
      <w:bookmarkStart w:id="9" w:name="_Toc427655274"/>
      <w:r w:rsidRPr="00846E41">
        <w:rPr>
          <w:rFonts w:ascii="IRBadr" w:hAnsi="IRBadr" w:cs="IRBadr"/>
          <w:rtl/>
        </w:rPr>
        <w:t>مناقشه در استدلال فوق</w:t>
      </w:r>
      <w:bookmarkEnd w:id="9"/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جواب این استدلال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اولاً این وجه استحسانی است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و ثانیاً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همه مجازات به این سنگینی که گفته شده نیست.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در اینکه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مجازات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بیان شده تخییری است یا ترتیبی؟ در این زمینه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اختلاف‌نظر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</w:p>
    <w:p w:rsidR="00882483" w:rsidRPr="00846E41" w:rsidRDefault="00882483" w:rsidP="00882483">
      <w:pPr>
        <w:pStyle w:val="Heading2"/>
        <w:rPr>
          <w:rFonts w:ascii="IRBadr" w:hAnsi="IRBadr" w:cs="IRBadr"/>
          <w:rtl/>
        </w:rPr>
      </w:pPr>
      <w:bookmarkStart w:id="10" w:name="_Toc427655275"/>
      <w:r w:rsidRPr="00846E41">
        <w:rPr>
          <w:rFonts w:ascii="IRBadr" w:hAnsi="IRBadr" w:cs="IRBadr"/>
          <w:rtl/>
        </w:rPr>
        <w:t>قاعده درع در این مقام</w:t>
      </w:r>
      <w:bookmarkEnd w:id="10"/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وجه دیگری که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ذکر کرد این است که در اینجا تریدی وجود دارد که آیا شامل مفسد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یا خیر؟ لذا در اینجا قاعده درع حکم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که شامل مفسد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06CEA" w:rsidRPr="00846E41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82483" w:rsidRPr="00846E41" w:rsidRDefault="00846E41" w:rsidP="00882483">
      <w:pPr>
        <w:pStyle w:val="Heading2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نتیجه‌گیری</w:t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استظهار ما از این آیه شریفه این است که مفسد </w:t>
      </w:r>
      <w:r w:rsidR="00846E41">
        <w:rPr>
          <w:rFonts w:ascii="IRBadr" w:hAnsi="IRBadr" w:cs="IRBadr"/>
          <w:sz w:val="28"/>
          <w:szCs w:val="28"/>
          <w:rtl/>
          <w:lang w:bidi="fa-IR"/>
        </w:rPr>
        <w:t>فی‌الارض</w:t>
      </w:r>
      <w:r w:rsidRPr="00846E41">
        <w:rPr>
          <w:rFonts w:ascii="IRBadr" w:hAnsi="IRBadr" w:cs="IRBadr"/>
          <w:sz w:val="28"/>
          <w:szCs w:val="28"/>
          <w:rtl/>
          <w:lang w:bidi="fa-IR"/>
        </w:rPr>
        <w:t xml:space="preserve"> موضوعیت دارد و محارب بودن مصداقی است.</w:t>
      </w: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882483" w:rsidRPr="00846E41" w:rsidRDefault="00882483" w:rsidP="0088248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846E41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846E41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35" w:rsidRDefault="00DF2735" w:rsidP="000D5800">
      <w:pPr>
        <w:spacing w:after="0" w:line="240" w:lineRule="auto"/>
      </w:pPr>
      <w:r>
        <w:separator/>
      </w:r>
    </w:p>
  </w:endnote>
  <w:endnote w:type="continuationSeparator" w:id="0">
    <w:p w:rsidR="00DF2735" w:rsidRDefault="00DF2735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35" w:rsidRDefault="00DF2735" w:rsidP="00AD5ECA">
      <w:pPr>
        <w:bidi/>
        <w:spacing w:after="0" w:line="240" w:lineRule="auto"/>
      </w:pPr>
      <w:r>
        <w:separator/>
      </w:r>
    </w:p>
  </w:footnote>
  <w:footnote w:type="continuationSeparator" w:id="0">
    <w:p w:rsidR="00DF2735" w:rsidRDefault="00DF2735" w:rsidP="000D5800">
      <w:pPr>
        <w:spacing w:after="0" w:line="240" w:lineRule="auto"/>
      </w:pPr>
      <w:r>
        <w:continuationSeparator/>
      </w:r>
    </w:p>
  </w:footnote>
  <w:footnote w:id="1">
    <w:p w:rsidR="00882483" w:rsidRPr="00CE03C5" w:rsidRDefault="00882483" w:rsidP="00882483">
      <w:pPr>
        <w:pStyle w:val="FootnoteText"/>
        <w:rPr>
          <w:rFonts w:cs="B Badr"/>
          <w:rtl/>
        </w:rPr>
      </w:pPr>
      <w:r w:rsidRPr="00CE03C5">
        <w:rPr>
          <w:rStyle w:val="FootnoteReference"/>
          <w:rFonts w:cs="B Badr"/>
        </w:rPr>
        <w:footnoteRef/>
      </w:r>
      <w:r w:rsidRPr="00CE03C5">
        <w:rPr>
          <w:rFonts w:cs="B Badr"/>
        </w:rPr>
        <w:t xml:space="preserve"> </w:t>
      </w:r>
      <w:r w:rsidRPr="00CE03C5">
        <w:rPr>
          <w:rFonts w:cs="B Badr" w:hint="cs"/>
          <w:rtl/>
        </w:rPr>
        <w:t>4/ محمد</w:t>
      </w:r>
    </w:p>
  </w:footnote>
  <w:footnote w:id="2">
    <w:p w:rsidR="00882483" w:rsidRDefault="00882483" w:rsidP="0088248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E03C5">
        <w:rPr>
          <w:rFonts w:ascii="Noor_Titr" w:hAnsi="Noor_Titr" w:cs="B Badr" w:hint="cs"/>
          <w:color w:val="000000" w:themeColor="text1"/>
          <w:rtl/>
        </w:rPr>
        <w:t>وسائل الش</w:t>
      </w:r>
      <w:r w:rsidR="00306CEA">
        <w:rPr>
          <w:rFonts w:ascii="Noor_Titr" w:hAnsi="Noor_Titr" w:cs="B Badr" w:hint="cs"/>
          <w:color w:val="000000" w:themeColor="text1"/>
          <w:rtl/>
        </w:rPr>
        <w:t>ی</w:t>
      </w:r>
      <w:r w:rsidRPr="00CE03C5">
        <w:rPr>
          <w:rFonts w:ascii="Noor_Titr" w:hAnsi="Noor_Titr" w:cs="B Badr" w:hint="cs"/>
          <w:color w:val="000000" w:themeColor="text1"/>
          <w:rtl/>
        </w:rPr>
        <w:t xml:space="preserve">عة؛ </w:t>
      </w:r>
      <w:r w:rsidR="00306CEA">
        <w:rPr>
          <w:rFonts w:ascii="Noor_Titr" w:hAnsi="Noor_Titr" w:cs="B Badr"/>
          <w:color w:val="000000" w:themeColor="text1"/>
          <w:rtl/>
        </w:rPr>
        <w:t>ج 28</w:t>
      </w:r>
      <w:r w:rsidRPr="00CE03C5">
        <w:rPr>
          <w:rFonts w:ascii="Noor_Titr" w:hAnsi="Noor_Titr" w:cs="B Badr" w:hint="cs"/>
          <w:color w:val="000000" w:themeColor="text1"/>
          <w:rtl/>
        </w:rPr>
        <w:t>، ص: 309</w:t>
      </w:r>
    </w:p>
  </w:footnote>
  <w:footnote w:id="3">
    <w:p w:rsidR="00882483" w:rsidRDefault="00882483" w:rsidP="0088248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Pr="00CE03C5">
        <w:rPr>
          <w:rFonts w:cs="B Badr" w:hint="cs"/>
          <w:rtl/>
        </w:rPr>
        <w:t>86/نساء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483" w:rsidRPr="00882483" w:rsidRDefault="000D5800" w:rsidP="00882483">
    <w:pPr>
      <w:tabs>
        <w:tab w:val="left" w:pos="1256"/>
        <w:tab w:val="left" w:pos="5696"/>
        <w:tab w:val="right" w:pos="9071"/>
      </w:tabs>
      <w:bidi/>
      <w:rPr>
        <w:rFonts w:ascii="IranNastaliq" w:hAnsi="IranNastaliq" w:cs="IranNastaliq"/>
        <w:sz w:val="40"/>
        <w:szCs w:val="40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C82C74C" wp14:editId="102465A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190B29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  <w:lang w:bidi="fa-IR"/>
      </w:rPr>
      <w:drawing>
        <wp:inline distT="0" distB="0" distL="0" distR="0" wp14:anchorId="5F5DB174" wp14:editId="286DA8E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82483">
      <w:rPr>
        <w:rFonts w:ascii="IranNastaliq" w:hAnsi="IranNastaliq" w:cs="IranNastaliq" w:hint="cs"/>
        <w:sz w:val="40"/>
        <w:szCs w:val="40"/>
        <w:rtl/>
        <w:lang w:bidi="fa-IR"/>
      </w:rPr>
      <w:t>916</w:t>
    </w:r>
  </w:p>
  <w:p w:rsidR="009541DD" w:rsidRDefault="009541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06CEA"/>
    <w:rsid w:val="003275F0"/>
    <w:rsid w:val="00340BA3"/>
    <w:rsid w:val="00366400"/>
    <w:rsid w:val="003963D7"/>
    <w:rsid w:val="00396F28"/>
    <w:rsid w:val="003A1A05"/>
    <w:rsid w:val="003A2654"/>
    <w:rsid w:val="003B4C26"/>
    <w:rsid w:val="003C06BF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4DC0"/>
    <w:rsid w:val="00496073"/>
    <w:rsid w:val="004B337F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F01B4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46E41"/>
    <w:rsid w:val="00857C21"/>
    <w:rsid w:val="008644F4"/>
    <w:rsid w:val="0087093D"/>
    <w:rsid w:val="00882483"/>
    <w:rsid w:val="00883733"/>
    <w:rsid w:val="008965D2"/>
    <w:rsid w:val="008A236D"/>
    <w:rsid w:val="008B565A"/>
    <w:rsid w:val="008C3414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401AC"/>
    <w:rsid w:val="009515C3"/>
    <w:rsid w:val="009541DD"/>
    <w:rsid w:val="009613AC"/>
    <w:rsid w:val="00980643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567A0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D5ECA"/>
    <w:rsid w:val="00AF0F1A"/>
    <w:rsid w:val="00AF6CE9"/>
    <w:rsid w:val="00B06A08"/>
    <w:rsid w:val="00B14240"/>
    <w:rsid w:val="00B15027"/>
    <w:rsid w:val="00B21CF4"/>
    <w:rsid w:val="00B24300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735"/>
    <w:rsid w:val="00E0639C"/>
    <w:rsid w:val="00E067E6"/>
    <w:rsid w:val="00E12531"/>
    <w:rsid w:val="00E143B0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4855-3907-4816-B323-88D14291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91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46</cp:revision>
  <dcterms:created xsi:type="dcterms:W3CDTF">2014-12-20T10:23:00Z</dcterms:created>
  <dcterms:modified xsi:type="dcterms:W3CDTF">2015-08-18T09:27:00Z</dcterms:modified>
</cp:coreProperties>
</file>