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3" w:rsidRPr="00FC0630" w:rsidRDefault="008E5084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0B33D4" w:rsidRPr="00FC0630" w:rsidRDefault="000B33D4" w:rsidP="000B33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B33D4" w:rsidRPr="00FC0630" w:rsidRDefault="000B33D4" w:rsidP="000B33D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FC0630">
        <w:rPr>
          <w:rFonts w:ascii="IRBadr" w:hAnsi="IRBadr" w:cs="IRBadr"/>
          <w:sz w:val="28"/>
          <w:rtl/>
        </w:rPr>
        <w:fldChar w:fldCharType="begin"/>
      </w:r>
      <w:r w:rsidRPr="00FC0630">
        <w:rPr>
          <w:rFonts w:ascii="IRBadr" w:hAnsi="IRBadr" w:cs="IRBadr"/>
          <w:sz w:val="28"/>
          <w:rtl/>
        </w:rPr>
        <w:instrText xml:space="preserve"> </w:instrText>
      </w:r>
      <w:r w:rsidRPr="00FC0630">
        <w:rPr>
          <w:rFonts w:ascii="IRBadr" w:hAnsi="IRBadr" w:cs="IRBadr"/>
          <w:sz w:val="28"/>
        </w:rPr>
        <w:instrText>TOC</w:instrText>
      </w:r>
      <w:r w:rsidRPr="00FC0630">
        <w:rPr>
          <w:rFonts w:ascii="IRBadr" w:hAnsi="IRBadr" w:cs="IRBadr"/>
          <w:sz w:val="28"/>
          <w:rtl/>
        </w:rPr>
        <w:instrText xml:space="preserve"> \</w:instrText>
      </w:r>
      <w:r w:rsidRPr="00FC0630">
        <w:rPr>
          <w:rFonts w:ascii="IRBadr" w:hAnsi="IRBadr" w:cs="IRBadr"/>
          <w:sz w:val="28"/>
        </w:rPr>
        <w:instrText>o "</w:instrText>
      </w:r>
      <w:r w:rsidRPr="00FC0630">
        <w:rPr>
          <w:rFonts w:ascii="IRBadr" w:hAnsi="IRBadr" w:cs="IRBadr"/>
          <w:sz w:val="28"/>
          <w:rtl/>
        </w:rPr>
        <w:instrText>1-4</w:instrText>
      </w:r>
      <w:r w:rsidRPr="00FC0630">
        <w:rPr>
          <w:rFonts w:ascii="IRBadr" w:hAnsi="IRBadr" w:cs="IRBadr"/>
          <w:sz w:val="28"/>
        </w:rPr>
        <w:instrText>" \h \z \u</w:instrText>
      </w:r>
      <w:r w:rsidRPr="00FC0630">
        <w:rPr>
          <w:rFonts w:ascii="IRBadr" w:hAnsi="IRBadr" w:cs="IRBadr"/>
          <w:sz w:val="28"/>
          <w:rtl/>
        </w:rPr>
        <w:instrText xml:space="preserve"> </w:instrText>
      </w:r>
      <w:r w:rsidRPr="00FC0630">
        <w:rPr>
          <w:rFonts w:ascii="IRBadr" w:hAnsi="IRBadr" w:cs="IRBadr"/>
          <w:sz w:val="28"/>
          <w:rtl/>
        </w:rPr>
        <w:fldChar w:fldCharType="separate"/>
      </w:r>
      <w:hyperlink w:anchor="_Toc427751641" w:history="1">
        <w:r w:rsidRPr="00FC0630">
          <w:rPr>
            <w:rStyle w:val="Hyperlink"/>
            <w:rFonts w:ascii="IRBadr" w:hAnsi="IRBadr" w:cs="IRBadr"/>
            <w:noProof/>
            <w:rtl/>
          </w:rPr>
          <w:t>حد محارب</w:t>
        </w:r>
        <w:r w:rsidRPr="00FC0630">
          <w:rPr>
            <w:rFonts w:ascii="IRBadr" w:hAnsi="IRBadr" w:cs="IRBadr"/>
            <w:noProof/>
            <w:webHidden/>
          </w:rPr>
          <w:tab/>
        </w:r>
        <w:r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FC0630">
          <w:rPr>
            <w:rFonts w:ascii="IRBadr" w:hAnsi="IRBadr" w:cs="IRBadr"/>
            <w:noProof/>
            <w:webHidden/>
          </w:rPr>
          <w:instrText xml:space="preserve"> PAGEREF _Toc427751641 \h </w:instrText>
        </w:r>
        <w:r w:rsidRPr="00FC0630">
          <w:rPr>
            <w:rStyle w:val="Hyperlink"/>
            <w:rFonts w:ascii="IRBadr" w:hAnsi="IRBadr" w:cs="IRBadr"/>
            <w:noProof/>
            <w:rtl/>
          </w:rPr>
        </w:r>
        <w:r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FC0630">
          <w:rPr>
            <w:rFonts w:ascii="IRBadr" w:hAnsi="IRBadr" w:cs="IRBadr"/>
            <w:noProof/>
            <w:webHidden/>
          </w:rPr>
          <w:t>1</w:t>
        </w:r>
        <w:r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42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اسلام خائفین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_Toc427751642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1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43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فروع دیگر در این فرض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_Toc427751643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1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44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انواع محاربه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_Toc427751644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2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645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مراد از ارض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_Toc427751645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2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646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مصداقیت قطاع الطریق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_Toc427751646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2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647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_Toc427751647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3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A177EE" w:rsidP="000B33D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648" w:history="1">
        <w:r w:rsidR="000B33D4" w:rsidRPr="00FC0630">
          <w:rPr>
            <w:rStyle w:val="Hyperlink"/>
            <w:rFonts w:ascii="IRBadr" w:hAnsi="IRBadr" w:cs="IRBadr"/>
            <w:noProof/>
            <w:rtl/>
          </w:rPr>
          <w:t>محاربه در غیر حالت دفاعی</w:t>
        </w:r>
        <w:r w:rsidR="000B33D4" w:rsidRPr="00FC0630">
          <w:rPr>
            <w:rFonts w:ascii="IRBadr" w:hAnsi="IRBadr" w:cs="IRBadr"/>
            <w:noProof/>
            <w:webHidden/>
          </w:rPr>
          <w:tab/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B33D4" w:rsidRPr="00FC0630">
          <w:rPr>
            <w:rFonts w:ascii="IRBadr" w:hAnsi="IRBadr" w:cs="IRBadr"/>
            <w:noProof/>
            <w:webHidden/>
          </w:rPr>
          <w:instrText xml:space="preserve"> PAGEREF _Toc427751648 \h </w:instrText>
        </w:r>
        <w:r w:rsidR="000B33D4" w:rsidRPr="00FC0630">
          <w:rPr>
            <w:rStyle w:val="Hyperlink"/>
            <w:rFonts w:ascii="IRBadr" w:hAnsi="IRBadr" w:cs="IRBadr"/>
            <w:noProof/>
            <w:rtl/>
          </w:rPr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B33D4" w:rsidRPr="00FC0630">
          <w:rPr>
            <w:rFonts w:ascii="IRBadr" w:hAnsi="IRBadr" w:cs="IRBadr"/>
            <w:noProof/>
            <w:webHidden/>
          </w:rPr>
          <w:t>3</w:t>
        </w:r>
        <w:r w:rsidR="000B33D4" w:rsidRPr="00FC0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B33D4" w:rsidRPr="00FC0630" w:rsidRDefault="000B33D4" w:rsidP="000B33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C0630" w:rsidRDefault="00FC0630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751641"/>
      <w:r>
        <w:rPr>
          <w:rFonts w:ascii="IRBadr" w:hAnsi="IRBadr" w:cs="IRBadr"/>
          <w:rtl/>
        </w:rPr>
        <w:br w:type="page"/>
      </w:r>
    </w:p>
    <w:p w:rsidR="00630613" w:rsidRPr="00FC0630" w:rsidRDefault="00630613" w:rsidP="00A72B1F">
      <w:pPr>
        <w:pStyle w:val="Heading1"/>
        <w:rPr>
          <w:rFonts w:ascii="IRBadr" w:hAnsi="IRBadr" w:cs="IRBadr"/>
          <w:rtl/>
        </w:rPr>
      </w:pPr>
      <w:r w:rsidRPr="00FC0630">
        <w:rPr>
          <w:rFonts w:ascii="IRBadr" w:hAnsi="IRBadr" w:cs="IRBadr"/>
          <w:rtl/>
        </w:rPr>
        <w:lastRenderedPageBreak/>
        <w:t>حد محارب</w:t>
      </w:r>
      <w:bookmarkEnd w:id="0"/>
    </w:p>
    <w:p w:rsidR="00630613" w:rsidRPr="00FC0630" w:rsidRDefault="00630613" w:rsidP="00A72B1F">
      <w:pPr>
        <w:pStyle w:val="Heading1"/>
        <w:rPr>
          <w:rFonts w:ascii="IRBadr" w:hAnsi="IRBadr" w:cs="IRBadr"/>
          <w:rtl/>
        </w:rPr>
      </w:pPr>
      <w:bookmarkStart w:id="1" w:name="_Toc427751642"/>
      <w:r w:rsidRPr="00FC0630">
        <w:rPr>
          <w:rFonts w:ascii="IRBadr" w:hAnsi="IRBadr" w:cs="IRBadr"/>
          <w:rtl/>
        </w:rPr>
        <w:t>اسلام خائفین</w:t>
      </w:r>
      <w:bookmarkEnd w:id="1"/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>گفته شد یکی از شروط تحقق محاربه ایجاد خوف است،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سؤالی که در اینجا وجود دارد این است که آیا افرادی که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می‌ترسند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لازم است مسلمان باشند؟</w:t>
      </w:r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می‌رسد که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این زمینه فرقی وجود نداشته باشد،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اطلاق وجود دارد و لازم نیست حتماً خائفین مسلمان باشد.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قبال کافر غیر ذمی بر اساس عناوین ثانویه احترامی ندارند،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طبق عناوین ثانویه ممکن است حرمت پیدا کنند و همانند کافر ذمی با او معامله شود.</w:t>
      </w:r>
    </w:p>
    <w:p w:rsidR="00630613" w:rsidRPr="00FC0630" w:rsidRDefault="00630613" w:rsidP="00A72B1F">
      <w:pPr>
        <w:pStyle w:val="Heading1"/>
        <w:rPr>
          <w:rFonts w:ascii="IRBadr" w:hAnsi="IRBadr" w:cs="IRBadr"/>
          <w:rtl/>
        </w:rPr>
      </w:pPr>
      <w:bookmarkStart w:id="2" w:name="_Toc427751643"/>
      <w:r w:rsidRPr="00FC0630">
        <w:rPr>
          <w:rFonts w:ascii="IRBadr" w:hAnsi="IRBadr" w:cs="IRBadr"/>
          <w:rtl/>
        </w:rPr>
        <w:t>فروع دیگر در این فرض</w:t>
      </w:r>
      <w:bookmarkEnd w:id="2"/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توجه به این نکته اساسی است که تنها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این تشهیر در جامعه مسلمین صورت بگیرد شامل حکم محاربه خواهد شد،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فرضی که در محیط کفر و جامعه غیر اسلامی محقق شود،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امر این است که دیگر این عنوان بر آن صادق نیست.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حکومت اسلامی باشد و این قلمرو صادق باشد،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حکومت نیز مشروعیت نداشته باشد،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عنوان صادق خواهد بود،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مقابله با حکومت و چه مقابله با مسلمانان باشد.</w:t>
      </w:r>
    </w:p>
    <w:p w:rsidR="00630613" w:rsidRPr="00FC0630" w:rsidRDefault="00630613" w:rsidP="00A72B1F">
      <w:pPr>
        <w:pStyle w:val="Heading2"/>
        <w:rPr>
          <w:rFonts w:ascii="IRBadr" w:hAnsi="IRBadr" w:cs="IRBadr"/>
          <w:rtl/>
        </w:rPr>
      </w:pPr>
      <w:bookmarkStart w:id="3" w:name="_Toc427751644"/>
      <w:r w:rsidRPr="00FC0630">
        <w:rPr>
          <w:rFonts w:ascii="IRBadr" w:hAnsi="IRBadr" w:cs="IRBadr"/>
          <w:rtl/>
        </w:rPr>
        <w:t>انواع محاربه</w:t>
      </w:r>
      <w:bookmarkEnd w:id="3"/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محاربه بر دو نوع است؛ گاهی مقابله مستقیم است و گاهی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محاربه به براندازی مستقیم اختصاص ندارد. و این ناامنی باید طبق آیه شریفه به نحوی منتسب به خداوند و رسول او (ص) باشد،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لازمه‌اش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این است که مسلمان باشند یا اهل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ذمه‌ای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پناه اسلام باشند.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روایات تعبیر به شهری از شهرهای مسلمین است،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بعید نیست گفته شد که اگر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دریکی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از بلاد غربی مسلمانی در پی این تشهیر ترسید،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محاربه او را دربر نگیرد.</w:t>
      </w:r>
    </w:p>
    <w:p w:rsidR="00630613" w:rsidRPr="00FC0630" w:rsidRDefault="00630613" w:rsidP="00A72B1F">
      <w:pPr>
        <w:pStyle w:val="Heading3"/>
        <w:rPr>
          <w:rFonts w:ascii="IRBadr" w:hAnsi="IRBadr" w:cs="IRBadr"/>
          <w:rtl/>
        </w:rPr>
      </w:pPr>
      <w:bookmarkStart w:id="4" w:name="_Toc427751645"/>
      <w:r w:rsidRPr="00FC0630">
        <w:rPr>
          <w:rFonts w:ascii="IRBadr" w:hAnsi="IRBadr" w:cs="IRBadr"/>
          <w:rtl/>
        </w:rPr>
        <w:t>مراد از ارض</w:t>
      </w:r>
      <w:bookmarkEnd w:id="4"/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طبق آنچه گذشت ما قائل به موضوعیت مفسد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شدیم،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سؤالی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است که آیا مراد از ارض،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سرزمین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مسلمین است؟</w:t>
      </w:r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lastRenderedPageBreak/>
        <w:t>که در جواب باید گفت؛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انصراف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آیه به این سمت است که مراد سرزمین مسلمین است.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ممکن است بگوییم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آیه‌ای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از جایی که مسلمین ساکن نیستند انصراف دارد.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لفظی انصراف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قرار گیرد که افراد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بی‌گناه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باشند،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غلظت موجود در آیه و ذکر شدن لفظ رسول، همه،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اول را تقویت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30613" w:rsidRPr="00FC0630" w:rsidRDefault="00630613" w:rsidP="00FC0630">
      <w:pPr>
        <w:pStyle w:val="Heading4"/>
        <w:rPr>
          <w:rtl/>
        </w:rPr>
      </w:pPr>
      <w:bookmarkStart w:id="5" w:name="_Toc427751646"/>
      <w:r w:rsidRPr="00FC0630">
        <w:rPr>
          <w:rtl/>
        </w:rPr>
        <w:t>مصداقیت قطاع الطریق</w:t>
      </w:r>
      <w:bookmarkEnd w:id="5"/>
    </w:p>
    <w:p w:rsidR="00630613" w:rsidRPr="00FC0630" w:rsidRDefault="00630613" w:rsidP="00630613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«مسألة 2: لا 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ثبت الح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 للطل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ع: و هو المراقب للقوافل و نحوها؛ ل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خبر رفقاءه من قطَّاع الطر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ق، و لا للردء و هو المع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 لضبط الأموال، و لا لمن شهر س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فه أو جهّز سلاحه لإخافة المحارب و لدفع فساده أو لدفع من 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قصده بسوء و نحو ذل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ممّا هو قطع الفساد لا الإفساد، و لا للصغ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و المجنون، و لا للملاعب</w:t>
      </w:r>
      <w:r w:rsidR="00A72B1F"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FC0630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>یکی از مصادیق واضح محاربین قطاع الطریق است،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راهزنانی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که در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نقطه‌ای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مخفی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افرادی داشتند که دست به اقدام مسلحانه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نمی‌زدند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تنها جاسوس و عیون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بودند که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به‌محض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نزدیکی قافله به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خبر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می‌دادند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و مقدمات محاربه را فراهم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می‌نمودند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30613" w:rsidRPr="00FC0630" w:rsidRDefault="00630613" w:rsidP="00FC0630">
      <w:pPr>
        <w:pStyle w:val="Heading4"/>
        <w:rPr>
          <w:rtl/>
        </w:rPr>
      </w:pPr>
      <w:bookmarkStart w:id="7" w:name="_Toc427751647"/>
      <w:r w:rsidRPr="00FC0630">
        <w:rPr>
          <w:rtl/>
        </w:rPr>
        <w:t>اتخاذ مبنا</w:t>
      </w:r>
      <w:bookmarkEnd w:id="7"/>
    </w:p>
    <w:p w:rsidR="00630613" w:rsidRPr="00FC0630" w:rsidRDefault="008E5084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در روایت بدان 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تصریح‌شده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که عبارت است از تشهیر سلاح در اینجا وجود ندارد و شارع حکم خود را به نقطه اصلی کار یعنی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کسی که 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را به خدمت گماشته اختصاص داده است،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برای مانند عیون حکم حارب وجود ندارد 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هرچند</w:t>
      </w:r>
      <w:r w:rsidR="00630613" w:rsidRPr="00FC0630">
        <w:rPr>
          <w:rFonts w:ascii="IRBadr" w:hAnsi="IRBadr" w:cs="IRBadr"/>
          <w:sz w:val="28"/>
          <w:szCs w:val="28"/>
          <w:rtl/>
          <w:lang w:bidi="fa-IR"/>
        </w:rPr>
        <w:t xml:space="preserve"> تعزیر خواهند شد.</w:t>
      </w:r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FC0630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نظریه موضوعیت مفسد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بعید نیست حکم این افراد را نیز دربر گیرد،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فتوای به آن امر دشواری است.</w:t>
      </w:r>
    </w:p>
    <w:p w:rsidR="00630613" w:rsidRPr="00FC0630" w:rsidRDefault="00630613" w:rsidP="00FC0630">
      <w:pPr>
        <w:pStyle w:val="Heading4"/>
        <w:rPr>
          <w:rtl/>
        </w:rPr>
      </w:pPr>
      <w:bookmarkStart w:id="8" w:name="_Toc427751648"/>
      <w:r w:rsidRPr="00FC0630">
        <w:rPr>
          <w:rtl/>
        </w:rPr>
        <w:t>محاربه در غیر حالت دفاعی</w:t>
      </w:r>
      <w:bookmarkEnd w:id="8"/>
    </w:p>
    <w:p w:rsidR="00630613" w:rsidRPr="00FC0630" w:rsidRDefault="00630613" w:rsidP="006306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بحث دیگری که در این زمینه وجود دارد این است که حالات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برای غیر از مواردی است که فرد برای دفاع از خود دست به تشهیر سلاح بزند،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0630">
        <w:rPr>
          <w:rFonts w:ascii="IRBadr" w:hAnsi="IRBadr" w:cs="IRBadr"/>
          <w:sz w:val="28"/>
          <w:szCs w:val="28"/>
          <w:rtl/>
          <w:lang w:bidi="fa-IR"/>
        </w:rPr>
        <w:t>لذا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موارد دفاع مشروع مشمول حکم آیه نیست.</w:t>
      </w:r>
      <w:r w:rsidR="00A72B1F" w:rsidRPr="00FC0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5084" w:rsidRPr="00FC063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 xml:space="preserve"> که برای تحقق این مفهوم باید از روی جد تشهیر سلاح انجام داده باشد و موارد هذل را در</w:t>
      </w:r>
      <w:r w:rsidR="00FC063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C0630">
        <w:rPr>
          <w:rFonts w:ascii="IRBadr" w:hAnsi="IRBadr" w:cs="IRBadr"/>
          <w:sz w:val="28"/>
          <w:szCs w:val="28"/>
          <w:rtl/>
          <w:lang w:bidi="fa-IR"/>
        </w:rPr>
        <w:t>برنمی‌گیرد</w:t>
      </w:r>
      <w:r w:rsidRPr="00FC063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FC063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FC063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E" w:rsidRDefault="00A177EE" w:rsidP="000D5800">
      <w:pPr>
        <w:spacing w:after="0" w:line="240" w:lineRule="auto"/>
      </w:pPr>
      <w:r>
        <w:separator/>
      </w:r>
    </w:p>
  </w:endnote>
  <w:endnote w:type="continuationSeparator" w:id="0">
    <w:p w:rsidR="00A177EE" w:rsidRDefault="00A177E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E" w:rsidRDefault="00A177EE" w:rsidP="000B33D4">
      <w:pPr>
        <w:bidi/>
        <w:spacing w:after="0" w:line="240" w:lineRule="auto"/>
      </w:pPr>
      <w:r>
        <w:separator/>
      </w:r>
    </w:p>
  </w:footnote>
  <w:footnote w:type="continuationSeparator" w:id="0">
    <w:p w:rsidR="00A177EE" w:rsidRDefault="00A177EE" w:rsidP="000D5800">
      <w:pPr>
        <w:spacing w:after="0" w:line="240" w:lineRule="auto"/>
      </w:pPr>
      <w:r>
        <w:continuationSeparator/>
      </w:r>
    </w:p>
  </w:footnote>
  <w:footnote w:id="1">
    <w:p w:rsidR="00630613" w:rsidRPr="00FC0630" w:rsidRDefault="00630613" w:rsidP="00630613">
      <w:pPr>
        <w:pStyle w:val="FootnoteText"/>
        <w:rPr>
          <w:rFonts w:ascii="IRBadr" w:hAnsi="IRBadr" w:cs="IRBadr"/>
          <w:b/>
          <w:bCs/>
          <w:rtl/>
        </w:rPr>
      </w:pPr>
      <w:r w:rsidRPr="00FC0630">
        <w:rPr>
          <w:rStyle w:val="FootnoteReference"/>
          <w:rFonts w:ascii="IRBadr" w:hAnsi="IRBadr" w:cs="IRBadr"/>
          <w:b/>
          <w:bCs/>
        </w:rPr>
        <w:footnoteRef/>
      </w:r>
      <w:r w:rsidRPr="00FC0630">
        <w:rPr>
          <w:rFonts w:ascii="IRBadr" w:hAnsi="IRBadr" w:cs="IRBadr"/>
          <w:b/>
          <w:bCs/>
        </w:rPr>
        <w:t xml:space="preserve"> </w:t>
      </w:r>
      <w:r w:rsidR="00FC0630" w:rsidRPr="00FC0630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>تفص</w:t>
      </w:r>
      <w:r w:rsidR="00A72B1F" w:rsidRPr="00FC0630">
        <w:rPr>
          <w:rFonts w:ascii="IRBadr" w:hAnsi="IRBadr" w:cs="IRBadr"/>
          <w:b/>
          <w:bCs/>
          <w:color w:val="000000" w:themeColor="text1"/>
          <w:rtl/>
        </w:rPr>
        <w:t>ی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>ل الشر</w:t>
      </w:r>
      <w:r w:rsidR="00A72B1F" w:rsidRPr="00FC0630">
        <w:rPr>
          <w:rFonts w:ascii="IRBadr" w:hAnsi="IRBadr" w:cs="IRBadr"/>
          <w:b/>
          <w:bCs/>
          <w:color w:val="000000" w:themeColor="text1"/>
          <w:rtl/>
        </w:rPr>
        <w:t>ی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>عة ف</w:t>
      </w:r>
      <w:r w:rsidR="00A72B1F" w:rsidRPr="00FC0630">
        <w:rPr>
          <w:rFonts w:ascii="IRBadr" w:hAnsi="IRBadr" w:cs="IRBadr"/>
          <w:b/>
          <w:bCs/>
          <w:color w:val="000000" w:themeColor="text1"/>
          <w:rtl/>
        </w:rPr>
        <w:t>ی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 xml:space="preserve"> شرح تحر</w:t>
      </w:r>
      <w:r w:rsidR="00A72B1F" w:rsidRPr="00FC0630">
        <w:rPr>
          <w:rFonts w:ascii="IRBadr" w:hAnsi="IRBadr" w:cs="IRBadr"/>
          <w:b/>
          <w:bCs/>
          <w:color w:val="000000" w:themeColor="text1"/>
          <w:rtl/>
        </w:rPr>
        <w:t>ی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>ر الوس</w:t>
      </w:r>
      <w:r w:rsidR="00A72B1F" w:rsidRPr="00FC0630">
        <w:rPr>
          <w:rFonts w:ascii="IRBadr" w:hAnsi="IRBadr" w:cs="IRBadr"/>
          <w:b/>
          <w:bCs/>
          <w:color w:val="000000" w:themeColor="text1"/>
          <w:rtl/>
        </w:rPr>
        <w:t>ی</w:t>
      </w:r>
      <w:r w:rsidRPr="00FC0630">
        <w:rPr>
          <w:rFonts w:ascii="IRBadr" w:hAnsi="IRBadr" w:cs="IRBadr"/>
          <w:b/>
          <w:bCs/>
          <w:color w:val="000000" w:themeColor="text1"/>
          <w:rtl/>
        </w:rPr>
        <w:t>لة - الحدود؛ ص: 645</w:t>
      </w:r>
      <w:r w:rsidR="00FC0630">
        <w:rPr>
          <w:rFonts w:ascii="IRBadr" w:hAnsi="IRBadr" w:cs="IRBadr" w:hint="cs"/>
          <w:b/>
          <w:bCs/>
          <w:rtl/>
        </w:rPr>
        <w:t>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F" w:rsidRPr="00A72B1F" w:rsidRDefault="000D5800" w:rsidP="00A72B1F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FD9809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72B1F">
      <w:rPr>
        <w:rFonts w:ascii="IranNastaliq" w:hAnsi="IranNastaliq" w:cs="IranNastaliq" w:hint="cs"/>
        <w:sz w:val="40"/>
        <w:szCs w:val="40"/>
        <w:rtl/>
        <w:lang w:bidi="fa-IR"/>
      </w:rPr>
      <w:t>920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33D4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4F35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094C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B337F"/>
    <w:rsid w:val="004D30EA"/>
    <w:rsid w:val="004F3596"/>
    <w:rsid w:val="004F56BA"/>
    <w:rsid w:val="00560405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0613"/>
    <w:rsid w:val="00636EFA"/>
    <w:rsid w:val="0066229C"/>
    <w:rsid w:val="00675B32"/>
    <w:rsid w:val="0069696C"/>
    <w:rsid w:val="006A085A"/>
    <w:rsid w:val="006A2CFF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562"/>
    <w:rsid w:val="00857C21"/>
    <w:rsid w:val="008644F4"/>
    <w:rsid w:val="00873614"/>
    <w:rsid w:val="00883733"/>
    <w:rsid w:val="008965D2"/>
    <w:rsid w:val="008A236D"/>
    <w:rsid w:val="008A755F"/>
    <w:rsid w:val="008B565A"/>
    <w:rsid w:val="008C3414"/>
    <w:rsid w:val="008D36D5"/>
    <w:rsid w:val="008E3903"/>
    <w:rsid w:val="008E5084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177EE"/>
    <w:rsid w:val="00A21834"/>
    <w:rsid w:val="00A31C17"/>
    <w:rsid w:val="00A31FDE"/>
    <w:rsid w:val="00A35AC2"/>
    <w:rsid w:val="00A37C77"/>
    <w:rsid w:val="00A5418D"/>
    <w:rsid w:val="00A725C2"/>
    <w:rsid w:val="00A72B1F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38E4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E7EC3"/>
    <w:rsid w:val="00E0639C"/>
    <w:rsid w:val="00E067E6"/>
    <w:rsid w:val="00E12531"/>
    <w:rsid w:val="00E143B0"/>
    <w:rsid w:val="00E55891"/>
    <w:rsid w:val="00E6283A"/>
    <w:rsid w:val="00E732A3"/>
    <w:rsid w:val="00E761C2"/>
    <w:rsid w:val="00E83A85"/>
    <w:rsid w:val="00E90FC4"/>
    <w:rsid w:val="00EA01EC"/>
    <w:rsid w:val="00EA15B0"/>
    <w:rsid w:val="00EA5D97"/>
    <w:rsid w:val="00EB090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630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C063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C063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3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C063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C063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8C27-FDDB-4234-BA1F-5D600F29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30</cp:revision>
  <dcterms:created xsi:type="dcterms:W3CDTF">2014-12-20T10:23:00Z</dcterms:created>
  <dcterms:modified xsi:type="dcterms:W3CDTF">2015-08-19T09:33:00Z</dcterms:modified>
</cp:coreProperties>
</file>