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D9" w:rsidRPr="00D63EFE" w:rsidRDefault="007F3121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9213D9" w:rsidRPr="00D63EFE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5A23DF" w:rsidRPr="00D63EFE" w:rsidRDefault="005A23DF" w:rsidP="005A23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5A23DF" w:rsidRPr="00D63EFE" w:rsidRDefault="005A23DF" w:rsidP="005A23D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D63EFE">
        <w:rPr>
          <w:rFonts w:ascii="IRBadr" w:hAnsi="IRBadr" w:cs="IRBadr"/>
          <w:sz w:val="28"/>
          <w:rtl/>
        </w:rPr>
        <w:fldChar w:fldCharType="begin"/>
      </w:r>
      <w:r w:rsidRPr="00D63EFE">
        <w:rPr>
          <w:rFonts w:ascii="IRBadr" w:hAnsi="IRBadr" w:cs="IRBadr"/>
          <w:sz w:val="28"/>
          <w:rtl/>
        </w:rPr>
        <w:instrText xml:space="preserve"> </w:instrText>
      </w:r>
      <w:r w:rsidRPr="00D63EFE">
        <w:rPr>
          <w:rFonts w:ascii="IRBadr" w:hAnsi="IRBadr" w:cs="IRBadr"/>
          <w:sz w:val="28"/>
        </w:rPr>
        <w:instrText>TOC</w:instrText>
      </w:r>
      <w:r w:rsidRPr="00D63EFE">
        <w:rPr>
          <w:rFonts w:ascii="IRBadr" w:hAnsi="IRBadr" w:cs="IRBadr"/>
          <w:sz w:val="28"/>
          <w:rtl/>
        </w:rPr>
        <w:instrText xml:space="preserve"> \</w:instrText>
      </w:r>
      <w:r w:rsidRPr="00D63EFE">
        <w:rPr>
          <w:rFonts w:ascii="IRBadr" w:hAnsi="IRBadr" w:cs="IRBadr"/>
          <w:sz w:val="28"/>
        </w:rPr>
        <w:instrText>o "</w:instrText>
      </w:r>
      <w:r w:rsidRPr="00D63EFE">
        <w:rPr>
          <w:rFonts w:ascii="IRBadr" w:hAnsi="IRBadr" w:cs="IRBadr"/>
          <w:sz w:val="28"/>
          <w:rtl/>
        </w:rPr>
        <w:instrText>1-4</w:instrText>
      </w:r>
      <w:r w:rsidRPr="00D63EFE">
        <w:rPr>
          <w:rFonts w:ascii="IRBadr" w:hAnsi="IRBadr" w:cs="IRBadr"/>
          <w:sz w:val="28"/>
        </w:rPr>
        <w:instrText>" \h \z \u</w:instrText>
      </w:r>
      <w:r w:rsidRPr="00D63EFE">
        <w:rPr>
          <w:rFonts w:ascii="IRBadr" w:hAnsi="IRBadr" w:cs="IRBadr"/>
          <w:sz w:val="28"/>
          <w:rtl/>
        </w:rPr>
        <w:instrText xml:space="preserve"> </w:instrText>
      </w:r>
      <w:r w:rsidRPr="00D63EFE">
        <w:rPr>
          <w:rFonts w:ascii="IRBadr" w:hAnsi="IRBadr" w:cs="IRBadr"/>
          <w:sz w:val="28"/>
          <w:rtl/>
        </w:rPr>
        <w:fldChar w:fldCharType="separate"/>
      </w:r>
      <w:hyperlink w:anchor="_Toc427751681" w:history="1">
        <w:r w:rsidRPr="00D63EFE">
          <w:rPr>
            <w:rStyle w:val="Hyperlink"/>
            <w:rFonts w:ascii="IRBadr" w:hAnsi="IRBadr" w:cs="IRBadr"/>
            <w:noProof/>
            <w:rtl/>
          </w:rPr>
          <w:t>حد محارب</w:t>
        </w:r>
        <w:r w:rsidRPr="00D63EFE">
          <w:rPr>
            <w:rFonts w:ascii="IRBadr" w:hAnsi="IRBadr" w:cs="IRBadr"/>
            <w:noProof/>
            <w:webHidden/>
          </w:rPr>
          <w:tab/>
        </w:r>
        <w:r w:rsidRPr="00D63EF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D63EFE">
          <w:rPr>
            <w:rFonts w:ascii="IRBadr" w:hAnsi="IRBadr" w:cs="IRBadr"/>
            <w:noProof/>
            <w:webHidden/>
          </w:rPr>
          <w:instrText xml:space="preserve"> PAGEREF _Toc427751681 \h </w:instrText>
        </w:r>
        <w:r w:rsidRPr="00D63EFE">
          <w:rPr>
            <w:rStyle w:val="Hyperlink"/>
            <w:rFonts w:ascii="IRBadr" w:hAnsi="IRBadr" w:cs="IRBadr"/>
            <w:noProof/>
            <w:rtl/>
          </w:rPr>
        </w:r>
        <w:r w:rsidRPr="00D63EF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D63EFE">
          <w:rPr>
            <w:rFonts w:ascii="IRBadr" w:hAnsi="IRBadr" w:cs="IRBadr"/>
            <w:noProof/>
            <w:webHidden/>
          </w:rPr>
          <w:t>1</w:t>
        </w:r>
        <w:r w:rsidRPr="00D63EF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23DF" w:rsidRPr="00D63EFE" w:rsidRDefault="006E100D" w:rsidP="005A23D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682" w:history="1">
        <w:r w:rsidR="005A23DF" w:rsidRPr="00D63EFE">
          <w:rPr>
            <w:rStyle w:val="Hyperlink"/>
            <w:rFonts w:ascii="IRBadr" w:hAnsi="IRBadr" w:cs="IRBadr"/>
            <w:noProof/>
            <w:rtl/>
          </w:rPr>
          <w:t>طرق اثبات محاربه</w:t>
        </w:r>
        <w:r w:rsidR="005A23DF" w:rsidRPr="00D63EFE">
          <w:rPr>
            <w:rFonts w:ascii="IRBadr" w:hAnsi="IRBadr" w:cs="IRBadr"/>
            <w:noProof/>
            <w:webHidden/>
          </w:rPr>
          <w:tab/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23DF" w:rsidRPr="00D63EFE">
          <w:rPr>
            <w:rFonts w:ascii="IRBadr" w:hAnsi="IRBadr" w:cs="IRBadr"/>
            <w:noProof/>
            <w:webHidden/>
          </w:rPr>
          <w:instrText xml:space="preserve"> PAGEREF _Toc427751682 \h </w:instrText>
        </w:r>
        <w:r w:rsidR="005A23DF" w:rsidRPr="00D63EFE">
          <w:rPr>
            <w:rStyle w:val="Hyperlink"/>
            <w:rFonts w:ascii="IRBadr" w:hAnsi="IRBadr" w:cs="IRBadr"/>
            <w:noProof/>
            <w:rtl/>
          </w:rPr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23DF" w:rsidRPr="00D63EFE">
          <w:rPr>
            <w:rFonts w:ascii="IRBadr" w:hAnsi="IRBadr" w:cs="IRBadr"/>
            <w:noProof/>
            <w:webHidden/>
          </w:rPr>
          <w:t>1</w:t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23DF" w:rsidRPr="00D63EFE" w:rsidRDefault="006E100D" w:rsidP="005A23D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683" w:history="1">
        <w:r w:rsidR="005A23DF" w:rsidRPr="00D63EFE">
          <w:rPr>
            <w:rStyle w:val="Hyperlink"/>
            <w:rFonts w:ascii="IRBadr" w:hAnsi="IRBadr" w:cs="IRBadr"/>
            <w:noProof/>
            <w:rtl/>
          </w:rPr>
          <w:t>طریق اقرار</w:t>
        </w:r>
        <w:r w:rsidR="005A23DF" w:rsidRPr="00D63EFE">
          <w:rPr>
            <w:rFonts w:ascii="IRBadr" w:hAnsi="IRBadr" w:cs="IRBadr"/>
            <w:noProof/>
            <w:webHidden/>
          </w:rPr>
          <w:tab/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23DF" w:rsidRPr="00D63EFE">
          <w:rPr>
            <w:rFonts w:ascii="IRBadr" w:hAnsi="IRBadr" w:cs="IRBadr"/>
            <w:noProof/>
            <w:webHidden/>
          </w:rPr>
          <w:instrText xml:space="preserve"> PAGEREF _Toc427751683 \h </w:instrText>
        </w:r>
        <w:r w:rsidR="005A23DF" w:rsidRPr="00D63EFE">
          <w:rPr>
            <w:rStyle w:val="Hyperlink"/>
            <w:rFonts w:ascii="IRBadr" w:hAnsi="IRBadr" w:cs="IRBadr"/>
            <w:noProof/>
            <w:rtl/>
          </w:rPr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23DF" w:rsidRPr="00D63EFE">
          <w:rPr>
            <w:rFonts w:ascii="IRBadr" w:hAnsi="IRBadr" w:cs="IRBadr"/>
            <w:noProof/>
            <w:webHidden/>
          </w:rPr>
          <w:t>2</w:t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23DF" w:rsidRPr="00D63EFE" w:rsidRDefault="006E100D" w:rsidP="005A23D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684" w:history="1">
        <w:r w:rsidR="005A23DF" w:rsidRPr="00D63EFE">
          <w:rPr>
            <w:rStyle w:val="Hyperlink"/>
            <w:rFonts w:ascii="IRBadr" w:hAnsi="IRBadr" w:cs="IRBadr"/>
            <w:noProof/>
            <w:rtl/>
          </w:rPr>
          <w:t>قول به احتیاط</w:t>
        </w:r>
        <w:r w:rsidR="005A23DF" w:rsidRPr="00D63EFE">
          <w:rPr>
            <w:rFonts w:ascii="IRBadr" w:hAnsi="IRBadr" w:cs="IRBadr"/>
            <w:noProof/>
            <w:webHidden/>
          </w:rPr>
          <w:tab/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23DF" w:rsidRPr="00D63EFE">
          <w:rPr>
            <w:rFonts w:ascii="IRBadr" w:hAnsi="IRBadr" w:cs="IRBadr"/>
            <w:noProof/>
            <w:webHidden/>
          </w:rPr>
          <w:instrText xml:space="preserve"> PAGEREF _Toc427751684 \h </w:instrText>
        </w:r>
        <w:r w:rsidR="005A23DF" w:rsidRPr="00D63EFE">
          <w:rPr>
            <w:rStyle w:val="Hyperlink"/>
            <w:rFonts w:ascii="IRBadr" w:hAnsi="IRBadr" w:cs="IRBadr"/>
            <w:noProof/>
            <w:rtl/>
          </w:rPr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23DF" w:rsidRPr="00D63EFE">
          <w:rPr>
            <w:rFonts w:ascii="IRBadr" w:hAnsi="IRBadr" w:cs="IRBadr"/>
            <w:noProof/>
            <w:webHidden/>
          </w:rPr>
          <w:t>2</w:t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23DF" w:rsidRPr="00D63EFE" w:rsidRDefault="006E100D" w:rsidP="005A23D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685" w:history="1">
        <w:r w:rsidR="005A23DF" w:rsidRPr="00D63EFE">
          <w:rPr>
            <w:rStyle w:val="Hyperlink"/>
            <w:rFonts w:ascii="IRBadr" w:hAnsi="IRBadr" w:cs="IRBadr"/>
            <w:noProof/>
            <w:rtl/>
          </w:rPr>
          <w:t>شهادت زن در این مقام</w:t>
        </w:r>
        <w:r w:rsidR="005A23DF" w:rsidRPr="00D63EFE">
          <w:rPr>
            <w:rFonts w:ascii="IRBadr" w:hAnsi="IRBadr" w:cs="IRBadr"/>
            <w:noProof/>
            <w:webHidden/>
          </w:rPr>
          <w:tab/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23DF" w:rsidRPr="00D63EFE">
          <w:rPr>
            <w:rFonts w:ascii="IRBadr" w:hAnsi="IRBadr" w:cs="IRBadr"/>
            <w:noProof/>
            <w:webHidden/>
          </w:rPr>
          <w:instrText xml:space="preserve"> PAGEREF _Toc427751685 \h </w:instrText>
        </w:r>
        <w:r w:rsidR="005A23DF" w:rsidRPr="00D63EFE">
          <w:rPr>
            <w:rStyle w:val="Hyperlink"/>
            <w:rFonts w:ascii="IRBadr" w:hAnsi="IRBadr" w:cs="IRBadr"/>
            <w:noProof/>
            <w:rtl/>
          </w:rPr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23DF" w:rsidRPr="00D63EFE">
          <w:rPr>
            <w:rFonts w:ascii="IRBadr" w:hAnsi="IRBadr" w:cs="IRBadr"/>
            <w:noProof/>
            <w:webHidden/>
          </w:rPr>
          <w:t>2</w:t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23DF" w:rsidRPr="00D63EFE" w:rsidRDefault="006E100D" w:rsidP="005A23D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686" w:history="1">
        <w:r w:rsidR="005A23DF" w:rsidRPr="00D63EFE">
          <w:rPr>
            <w:rStyle w:val="Hyperlink"/>
            <w:rFonts w:ascii="IRBadr" w:hAnsi="IRBadr" w:cs="IRBadr"/>
            <w:noProof/>
            <w:rtl/>
          </w:rPr>
          <w:t>تطبیق بحث</w:t>
        </w:r>
        <w:r w:rsidR="005A23DF" w:rsidRPr="00D63EFE">
          <w:rPr>
            <w:rFonts w:ascii="IRBadr" w:hAnsi="IRBadr" w:cs="IRBadr"/>
            <w:noProof/>
            <w:webHidden/>
          </w:rPr>
          <w:tab/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23DF" w:rsidRPr="00D63EFE">
          <w:rPr>
            <w:rFonts w:ascii="IRBadr" w:hAnsi="IRBadr" w:cs="IRBadr"/>
            <w:noProof/>
            <w:webHidden/>
          </w:rPr>
          <w:instrText xml:space="preserve"> PAGEREF _Toc427751686 \h </w:instrText>
        </w:r>
        <w:r w:rsidR="005A23DF" w:rsidRPr="00D63EFE">
          <w:rPr>
            <w:rStyle w:val="Hyperlink"/>
            <w:rFonts w:ascii="IRBadr" w:hAnsi="IRBadr" w:cs="IRBadr"/>
            <w:noProof/>
            <w:rtl/>
          </w:rPr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23DF" w:rsidRPr="00D63EFE">
          <w:rPr>
            <w:rFonts w:ascii="IRBadr" w:hAnsi="IRBadr" w:cs="IRBadr"/>
            <w:noProof/>
            <w:webHidden/>
          </w:rPr>
          <w:t>2</w:t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23DF" w:rsidRPr="00D63EFE" w:rsidRDefault="006E100D" w:rsidP="005A23D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687" w:history="1">
        <w:r w:rsidR="005A23DF" w:rsidRPr="00D63EFE">
          <w:rPr>
            <w:rStyle w:val="Hyperlink"/>
            <w:rFonts w:ascii="IRBadr" w:hAnsi="IRBadr" w:cs="IRBadr"/>
            <w:noProof/>
            <w:rtl/>
          </w:rPr>
          <w:t>شهادت لصوص</w:t>
        </w:r>
        <w:r w:rsidR="005A23DF" w:rsidRPr="00D63EFE">
          <w:rPr>
            <w:rFonts w:ascii="IRBadr" w:hAnsi="IRBadr" w:cs="IRBadr"/>
            <w:noProof/>
            <w:webHidden/>
          </w:rPr>
          <w:tab/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23DF" w:rsidRPr="00D63EFE">
          <w:rPr>
            <w:rFonts w:ascii="IRBadr" w:hAnsi="IRBadr" w:cs="IRBadr"/>
            <w:noProof/>
            <w:webHidden/>
          </w:rPr>
          <w:instrText xml:space="preserve"> PAGEREF _Toc427751687 \h </w:instrText>
        </w:r>
        <w:r w:rsidR="005A23DF" w:rsidRPr="00D63EFE">
          <w:rPr>
            <w:rStyle w:val="Hyperlink"/>
            <w:rFonts w:ascii="IRBadr" w:hAnsi="IRBadr" w:cs="IRBadr"/>
            <w:noProof/>
            <w:rtl/>
          </w:rPr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23DF" w:rsidRPr="00D63EFE">
          <w:rPr>
            <w:rFonts w:ascii="IRBadr" w:hAnsi="IRBadr" w:cs="IRBadr"/>
            <w:noProof/>
            <w:webHidden/>
          </w:rPr>
          <w:t>3</w:t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23DF" w:rsidRPr="00D63EFE" w:rsidRDefault="006E100D" w:rsidP="005A23D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688" w:history="1">
        <w:r w:rsidR="005A23DF" w:rsidRPr="00D63EFE">
          <w:rPr>
            <w:rStyle w:val="Hyperlink"/>
            <w:rFonts w:ascii="IRBadr" w:hAnsi="IRBadr" w:cs="IRBadr"/>
            <w:noProof/>
            <w:rtl/>
          </w:rPr>
          <w:t>تخییر حاکم در این مسئله</w:t>
        </w:r>
        <w:r w:rsidR="005A23DF" w:rsidRPr="00D63EFE">
          <w:rPr>
            <w:rFonts w:ascii="IRBadr" w:hAnsi="IRBadr" w:cs="IRBadr"/>
            <w:noProof/>
            <w:webHidden/>
          </w:rPr>
          <w:tab/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23DF" w:rsidRPr="00D63EFE">
          <w:rPr>
            <w:rFonts w:ascii="IRBadr" w:hAnsi="IRBadr" w:cs="IRBadr"/>
            <w:noProof/>
            <w:webHidden/>
          </w:rPr>
          <w:instrText xml:space="preserve"> PAGEREF _Toc427751688 \h </w:instrText>
        </w:r>
        <w:r w:rsidR="005A23DF" w:rsidRPr="00D63EFE">
          <w:rPr>
            <w:rStyle w:val="Hyperlink"/>
            <w:rFonts w:ascii="IRBadr" w:hAnsi="IRBadr" w:cs="IRBadr"/>
            <w:noProof/>
            <w:rtl/>
          </w:rPr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23DF" w:rsidRPr="00D63EFE">
          <w:rPr>
            <w:rFonts w:ascii="IRBadr" w:hAnsi="IRBadr" w:cs="IRBadr"/>
            <w:noProof/>
            <w:webHidden/>
          </w:rPr>
          <w:t>3</w:t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23DF" w:rsidRPr="00D63EFE" w:rsidRDefault="006E100D" w:rsidP="005A23D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689" w:history="1">
        <w:r w:rsidR="005A23DF" w:rsidRPr="00D63EFE">
          <w:rPr>
            <w:rStyle w:val="Hyperlink"/>
            <w:rFonts w:ascii="IRBadr" w:hAnsi="IRBadr" w:cs="IRBadr"/>
            <w:noProof/>
            <w:rtl/>
          </w:rPr>
          <w:t>نظریات در این باب</w:t>
        </w:r>
        <w:r w:rsidR="005A23DF" w:rsidRPr="00D63EFE">
          <w:rPr>
            <w:rFonts w:ascii="IRBadr" w:hAnsi="IRBadr" w:cs="IRBadr"/>
            <w:noProof/>
            <w:webHidden/>
          </w:rPr>
          <w:tab/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23DF" w:rsidRPr="00D63EFE">
          <w:rPr>
            <w:rFonts w:ascii="IRBadr" w:hAnsi="IRBadr" w:cs="IRBadr"/>
            <w:noProof/>
            <w:webHidden/>
          </w:rPr>
          <w:instrText xml:space="preserve"> PAGEREF _Toc427751689 \h </w:instrText>
        </w:r>
        <w:r w:rsidR="005A23DF" w:rsidRPr="00D63EFE">
          <w:rPr>
            <w:rStyle w:val="Hyperlink"/>
            <w:rFonts w:ascii="IRBadr" w:hAnsi="IRBadr" w:cs="IRBadr"/>
            <w:noProof/>
            <w:rtl/>
          </w:rPr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23DF" w:rsidRPr="00D63EFE">
          <w:rPr>
            <w:rFonts w:ascii="IRBadr" w:hAnsi="IRBadr" w:cs="IRBadr"/>
            <w:noProof/>
            <w:webHidden/>
          </w:rPr>
          <w:t>3</w:t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23DF" w:rsidRPr="00D63EFE" w:rsidRDefault="006E100D" w:rsidP="005A23D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690" w:history="1">
        <w:r w:rsidR="005A23DF" w:rsidRPr="00D63EFE">
          <w:rPr>
            <w:rStyle w:val="Hyperlink"/>
            <w:rFonts w:ascii="IRBadr" w:hAnsi="IRBadr" w:cs="IRBadr"/>
            <w:noProof/>
            <w:rtl/>
          </w:rPr>
          <w:t>ادله بحث</w:t>
        </w:r>
        <w:r w:rsidR="005A23DF" w:rsidRPr="00D63EFE">
          <w:rPr>
            <w:rFonts w:ascii="IRBadr" w:hAnsi="IRBadr" w:cs="IRBadr"/>
            <w:noProof/>
            <w:webHidden/>
          </w:rPr>
          <w:tab/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23DF" w:rsidRPr="00D63EFE">
          <w:rPr>
            <w:rFonts w:ascii="IRBadr" w:hAnsi="IRBadr" w:cs="IRBadr"/>
            <w:noProof/>
            <w:webHidden/>
          </w:rPr>
          <w:instrText xml:space="preserve"> PAGEREF _Toc427751690 \h </w:instrText>
        </w:r>
        <w:r w:rsidR="005A23DF" w:rsidRPr="00D63EFE">
          <w:rPr>
            <w:rStyle w:val="Hyperlink"/>
            <w:rFonts w:ascii="IRBadr" w:hAnsi="IRBadr" w:cs="IRBadr"/>
            <w:noProof/>
            <w:rtl/>
          </w:rPr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23DF" w:rsidRPr="00D63EFE">
          <w:rPr>
            <w:rFonts w:ascii="IRBadr" w:hAnsi="IRBadr" w:cs="IRBadr"/>
            <w:noProof/>
            <w:webHidden/>
          </w:rPr>
          <w:t>4</w:t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23DF" w:rsidRPr="00D63EFE" w:rsidRDefault="006E100D" w:rsidP="005A23D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691" w:history="1">
        <w:r w:rsidR="005A23DF" w:rsidRPr="00D63EFE">
          <w:rPr>
            <w:rStyle w:val="Hyperlink"/>
            <w:rFonts w:ascii="IRBadr" w:hAnsi="IRBadr" w:cs="IRBadr"/>
            <w:noProof/>
            <w:rtl/>
          </w:rPr>
          <w:t>ادله تخییر</w:t>
        </w:r>
        <w:r w:rsidR="005A23DF" w:rsidRPr="00D63EFE">
          <w:rPr>
            <w:rFonts w:ascii="IRBadr" w:hAnsi="IRBadr" w:cs="IRBadr"/>
            <w:noProof/>
            <w:webHidden/>
          </w:rPr>
          <w:tab/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23DF" w:rsidRPr="00D63EFE">
          <w:rPr>
            <w:rFonts w:ascii="IRBadr" w:hAnsi="IRBadr" w:cs="IRBadr"/>
            <w:noProof/>
            <w:webHidden/>
          </w:rPr>
          <w:instrText xml:space="preserve"> PAGEREF _Toc427751691 \h </w:instrText>
        </w:r>
        <w:r w:rsidR="005A23DF" w:rsidRPr="00D63EFE">
          <w:rPr>
            <w:rStyle w:val="Hyperlink"/>
            <w:rFonts w:ascii="IRBadr" w:hAnsi="IRBadr" w:cs="IRBadr"/>
            <w:noProof/>
            <w:rtl/>
          </w:rPr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23DF" w:rsidRPr="00D63EFE">
          <w:rPr>
            <w:rFonts w:ascii="IRBadr" w:hAnsi="IRBadr" w:cs="IRBadr"/>
            <w:noProof/>
            <w:webHidden/>
          </w:rPr>
          <w:t>4</w:t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23DF" w:rsidRPr="00D63EFE" w:rsidRDefault="006E100D" w:rsidP="005A23D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692" w:history="1">
        <w:r w:rsidR="005A23DF" w:rsidRPr="00D63EFE">
          <w:rPr>
            <w:rStyle w:val="Hyperlink"/>
            <w:rFonts w:ascii="IRBadr" w:hAnsi="IRBadr" w:cs="IRBadr"/>
            <w:noProof/>
            <w:rtl/>
          </w:rPr>
          <w:t>دلیل اول</w:t>
        </w:r>
        <w:r w:rsidR="005A23DF" w:rsidRPr="00D63EFE">
          <w:rPr>
            <w:rFonts w:ascii="IRBadr" w:hAnsi="IRBadr" w:cs="IRBadr"/>
            <w:noProof/>
            <w:webHidden/>
          </w:rPr>
          <w:tab/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23DF" w:rsidRPr="00D63EFE">
          <w:rPr>
            <w:rFonts w:ascii="IRBadr" w:hAnsi="IRBadr" w:cs="IRBadr"/>
            <w:noProof/>
            <w:webHidden/>
          </w:rPr>
          <w:instrText xml:space="preserve"> PAGEREF _Toc427751692 \h </w:instrText>
        </w:r>
        <w:r w:rsidR="005A23DF" w:rsidRPr="00D63EFE">
          <w:rPr>
            <w:rStyle w:val="Hyperlink"/>
            <w:rFonts w:ascii="IRBadr" w:hAnsi="IRBadr" w:cs="IRBadr"/>
            <w:noProof/>
            <w:rtl/>
          </w:rPr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23DF" w:rsidRPr="00D63EFE">
          <w:rPr>
            <w:rFonts w:ascii="IRBadr" w:hAnsi="IRBadr" w:cs="IRBadr"/>
            <w:noProof/>
            <w:webHidden/>
          </w:rPr>
          <w:t>4</w:t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23DF" w:rsidRPr="00D63EFE" w:rsidRDefault="006E100D" w:rsidP="005A23D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693" w:history="1">
        <w:r w:rsidR="005A23DF" w:rsidRPr="00D63EFE">
          <w:rPr>
            <w:rStyle w:val="Hyperlink"/>
            <w:rFonts w:ascii="IRBadr" w:hAnsi="IRBadr" w:cs="IRBadr"/>
            <w:noProof/>
            <w:rtl/>
          </w:rPr>
          <w:t>دلیل دوم</w:t>
        </w:r>
        <w:r w:rsidR="005A23DF" w:rsidRPr="00D63EFE">
          <w:rPr>
            <w:rFonts w:ascii="IRBadr" w:hAnsi="IRBadr" w:cs="IRBadr"/>
            <w:noProof/>
            <w:webHidden/>
          </w:rPr>
          <w:tab/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23DF" w:rsidRPr="00D63EFE">
          <w:rPr>
            <w:rFonts w:ascii="IRBadr" w:hAnsi="IRBadr" w:cs="IRBadr"/>
            <w:noProof/>
            <w:webHidden/>
          </w:rPr>
          <w:instrText xml:space="preserve"> PAGEREF _Toc427751693 \h </w:instrText>
        </w:r>
        <w:r w:rsidR="005A23DF" w:rsidRPr="00D63EFE">
          <w:rPr>
            <w:rStyle w:val="Hyperlink"/>
            <w:rFonts w:ascii="IRBadr" w:hAnsi="IRBadr" w:cs="IRBadr"/>
            <w:noProof/>
            <w:rtl/>
          </w:rPr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23DF" w:rsidRPr="00D63EFE">
          <w:rPr>
            <w:rFonts w:ascii="IRBadr" w:hAnsi="IRBadr" w:cs="IRBadr"/>
            <w:noProof/>
            <w:webHidden/>
          </w:rPr>
          <w:t>4</w:t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23DF" w:rsidRPr="00D63EFE" w:rsidRDefault="006E100D" w:rsidP="005A23D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694" w:history="1">
        <w:r w:rsidR="005A23DF" w:rsidRPr="00D63EFE">
          <w:rPr>
            <w:rStyle w:val="Hyperlink"/>
            <w:rFonts w:ascii="IRBadr" w:hAnsi="IRBadr" w:cs="IRBadr"/>
            <w:noProof/>
            <w:rtl/>
          </w:rPr>
          <w:t>دلیل سوم</w:t>
        </w:r>
        <w:r w:rsidR="005A23DF" w:rsidRPr="00D63EFE">
          <w:rPr>
            <w:rFonts w:ascii="IRBadr" w:hAnsi="IRBadr" w:cs="IRBadr"/>
            <w:noProof/>
            <w:webHidden/>
          </w:rPr>
          <w:tab/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23DF" w:rsidRPr="00D63EFE">
          <w:rPr>
            <w:rFonts w:ascii="IRBadr" w:hAnsi="IRBadr" w:cs="IRBadr"/>
            <w:noProof/>
            <w:webHidden/>
          </w:rPr>
          <w:instrText xml:space="preserve"> PAGEREF _Toc427751694 \h </w:instrText>
        </w:r>
        <w:r w:rsidR="005A23DF" w:rsidRPr="00D63EFE">
          <w:rPr>
            <w:rStyle w:val="Hyperlink"/>
            <w:rFonts w:ascii="IRBadr" w:hAnsi="IRBadr" w:cs="IRBadr"/>
            <w:noProof/>
            <w:rtl/>
          </w:rPr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23DF" w:rsidRPr="00D63EFE">
          <w:rPr>
            <w:rFonts w:ascii="IRBadr" w:hAnsi="IRBadr" w:cs="IRBadr"/>
            <w:noProof/>
            <w:webHidden/>
          </w:rPr>
          <w:t>5</w:t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23DF" w:rsidRPr="00D63EFE" w:rsidRDefault="006E100D" w:rsidP="005A23D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695" w:history="1">
        <w:r w:rsidR="005A23DF" w:rsidRPr="00D63EFE">
          <w:rPr>
            <w:rStyle w:val="Hyperlink"/>
            <w:rFonts w:ascii="IRBadr" w:hAnsi="IRBadr" w:cs="IRBadr"/>
            <w:noProof/>
            <w:rtl/>
          </w:rPr>
          <w:t>مستندات ترتیب</w:t>
        </w:r>
        <w:r w:rsidR="005A23DF" w:rsidRPr="00D63EFE">
          <w:rPr>
            <w:rFonts w:ascii="IRBadr" w:hAnsi="IRBadr" w:cs="IRBadr"/>
            <w:noProof/>
            <w:webHidden/>
          </w:rPr>
          <w:tab/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23DF" w:rsidRPr="00D63EFE">
          <w:rPr>
            <w:rFonts w:ascii="IRBadr" w:hAnsi="IRBadr" w:cs="IRBadr"/>
            <w:noProof/>
            <w:webHidden/>
          </w:rPr>
          <w:instrText xml:space="preserve"> PAGEREF _Toc427751695 \h </w:instrText>
        </w:r>
        <w:r w:rsidR="005A23DF" w:rsidRPr="00D63EFE">
          <w:rPr>
            <w:rStyle w:val="Hyperlink"/>
            <w:rFonts w:ascii="IRBadr" w:hAnsi="IRBadr" w:cs="IRBadr"/>
            <w:noProof/>
            <w:rtl/>
          </w:rPr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23DF" w:rsidRPr="00D63EFE">
          <w:rPr>
            <w:rFonts w:ascii="IRBadr" w:hAnsi="IRBadr" w:cs="IRBadr"/>
            <w:noProof/>
            <w:webHidden/>
          </w:rPr>
          <w:t>5</w:t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23DF" w:rsidRPr="00D63EFE" w:rsidRDefault="006E100D" w:rsidP="005A23D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696" w:history="1">
        <w:r w:rsidR="005A23DF" w:rsidRPr="00D63EFE">
          <w:rPr>
            <w:rStyle w:val="Hyperlink"/>
            <w:rFonts w:ascii="IRBadr" w:hAnsi="IRBadr" w:cs="IRBadr"/>
            <w:noProof/>
            <w:rtl/>
          </w:rPr>
          <w:t>روایت اول</w:t>
        </w:r>
        <w:r w:rsidR="005A23DF" w:rsidRPr="00D63EFE">
          <w:rPr>
            <w:rFonts w:ascii="IRBadr" w:hAnsi="IRBadr" w:cs="IRBadr"/>
            <w:noProof/>
            <w:webHidden/>
          </w:rPr>
          <w:tab/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23DF" w:rsidRPr="00D63EFE">
          <w:rPr>
            <w:rFonts w:ascii="IRBadr" w:hAnsi="IRBadr" w:cs="IRBadr"/>
            <w:noProof/>
            <w:webHidden/>
          </w:rPr>
          <w:instrText xml:space="preserve"> PAGEREF _Toc427751696 \h </w:instrText>
        </w:r>
        <w:r w:rsidR="005A23DF" w:rsidRPr="00D63EFE">
          <w:rPr>
            <w:rStyle w:val="Hyperlink"/>
            <w:rFonts w:ascii="IRBadr" w:hAnsi="IRBadr" w:cs="IRBadr"/>
            <w:noProof/>
            <w:rtl/>
          </w:rPr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23DF" w:rsidRPr="00D63EFE">
          <w:rPr>
            <w:rFonts w:ascii="IRBadr" w:hAnsi="IRBadr" w:cs="IRBadr"/>
            <w:noProof/>
            <w:webHidden/>
          </w:rPr>
          <w:t>5</w:t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23DF" w:rsidRPr="00D63EFE" w:rsidRDefault="006E100D" w:rsidP="005A23D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751697" w:history="1">
        <w:r w:rsidR="005A23DF" w:rsidRPr="00D63EFE">
          <w:rPr>
            <w:rStyle w:val="Hyperlink"/>
            <w:rFonts w:ascii="IRBadr" w:hAnsi="IRBadr" w:cs="IRBadr"/>
            <w:noProof/>
            <w:rtl/>
          </w:rPr>
          <w:t>روایت دوم</w:t>
        </w:r>
        <w:r w:rsidR="005A23DF" w:rsidRPr="00D63EFE">
          <w:rPr>
            <w:rFonts w:ascii="IRBadr" w:hAnsi="IRBadr" w:cs="IRBadr"/>
            <w:noProof/>
            <w:webHidden/>
          </w:rPr>
          <w:tab/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5A23DF" w:rsidRPr="00D63EFE">
          <w:rPr>
            <w:rFonts w:ascii="IRBadr" w:hAnsi="IRBadr" w:cs="IRBadr"/>
            <w:noProof/>
            <w:webHidden/>
          </w:rPr>
          <w:instrText xml:space="preserve"> PAGEREF _Toc427751697 \h </w:instrText>
        </w:r>
        <w:r w:rsidR="005A23DF" w:rsidRPr="00D63EFE">
          <w:rPr>
            <w:rStyle w:val="Hyperlink"/>
            <w:rFonts w:ascii="IRBadr" w:hAnsi="IRBadr" w:cs="IRBadr"/>
            <w:noProof/>
            <w:rtl/>
          </w:rPr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5A23DF" w:rsidRPr="00D63EFE">
          <w:rPr>
            <w:rFonts w:ascii="IRBadr" w:hAnsi="IRBadr" w:cs="IRBadr"/>
            <w:noProof/>
            <w:webHidden/>
          </w:rPr>
          <w:t>6</w:t>
        </w:r>
        <w:r w:rsidR="005A23DF" w:rsidRPr="00D63EF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5A23DF" w:rsidRPr="00D63EFE" w:rsidRDefault="005A23DF" w:rsidP="005A23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D63EFE" w:rsidRDefault="00D63EFE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7751681"/>
      <w:r>
        <w:rPr>
          <w:rFonts w:ascii="IRBadr" w:hAnsi="IRBadr" w:cs="IRBadr"/>
          <w:rtl/>
        </w:rPr>
        <w:br w:type="page"/>
      </w:r>
    </w:p>
    <w:p w:rsidR="009213D9" w:rsidRPr="00D63EFE" w:rsidRDefault="009213D9" w:rsidP="009213D9">
      <w:pPr>
        <w:pStyle w:val="Heading1"/>
        <w:rPr>
          <w:rFonts w:ascii="IRBadr" w:hAnsi="IRBadr" w:cs="IRBadr"/>
          <w:rtl/>
        </w:rPr>
      </w:pPr>
      <w:r w:rsidRPr="00D63EFE">
        <w:rPr>
          <w:rFonts w:ascii="IRBadr" w:hAnsi="IRBadr" w:cs="IRBadr"/>
          <w:rtl/>
        </w:rPr>
        <w:lastRenderedPageBreak/>
        <w:t>حد محارب</w:t>
      </w:r>
      <w:bookmarkEnd w:id="0"/>
    </w:p>
    <w:p w:rsidR="009213D9" w:rsidRPr="00D63EFE" w:rsidRDefault="009213D9" w:rsidP="009213D9">
      <w:pPr>
        <w:pStyle w:val="Heading1"/>
        <w:rPr>
          <w:rFonts w:ascii="IRBadr" w:hAnsi="IRBadr" w:cs="IRBadr"/>
          <w:rtl/>
        </w:rPr>
      </w:pPr>
      <w:bookmarkStart w:id="1" w:name="_Toc427751682"/>
      <w:r w:rsidRPr="00D63EFE">
        <w:rPr>
          <w:rFonts w:ascii="IRBadr" w:hAnsi="IRBadr" w:cs="IRBadr"/>
          <w:rtl/>
        </w:rPr>
        <w:t>طرق اثبات محاربه</w:t>
      </w:r>
      <w:bookmarkEnd w:id="1"/>
    </w:p>
    <w:p w:rsidR="009213D9" w:rsidRPr="00D63EFE" w:rsidRDefault="009213D9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>پس از شروط و مباحثی که در قبال محاربه بیان شد،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اکنون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جای این سؤال است که محاربه چگونه ثابت 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9213D9" w:rsidRPr="00D63EFE" w:rsidRDefault="009213D9" w:rsidP="009213D9">
      <w:pPr>
        <w:pStyle w:val="Heading1"/>
        <w:rPr>
          <w:rFonts w:ascii="IRBadr" w:hAnsi="IRBadr" w:cs="IRBadr"/>
          <w:rtl/>
        </w:rPr>
      </w:pPr>
      <w:bookmarkStart w:id="2" w:name="_Toc427751683"/>
      <w:r w:rsidRPr="00D63EFE">
        <w:rPr>
          <w:rFonts w:ascii="IRBadr" w:hAnsi="IRBadr" w:cs="IRBadr"/>
          <w:rtl/>
        </w:rPr>
        <w:t>طریق اقرار</w:t>
      </w:r>
      <w:bookmarkEnd w:id="2"/>
    </w:p>
    <w:p w:rsidR="009213D9" w:rsidRPr="00D63EFE" w:rsidRDefault="007F3121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9213D9" w:rsidRPr="00D63EFE">
        <w:rPr>
          <w:rFonts w:ascii="IRBadr" w:hAnsi="IRBadr" w:cs="IRBadr"/>
          <w:sz w:val="28"/>
          <w:szCs w:val="28"/>
          <w:rtl/>
          <w:lang w:bidi="fa-IR"/>
        </w:rPr>
        <w:t xml:space="preserve"> اقرار یکی از 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>راه‌های</w:t>
      </w:r>
      <w:r w:rsidR="009213D9" w:rsidRPr="00D63EFE">
        <w:rPr>
          <w:rFonts w:ascii="IRBadr" w:hAnsi="IRBadr" w:cs="IRBadr"/>
          <w:sz w:val="28"/>
          <w:szCs w:val="28"/>
          <w:rtl/>
          <w:lang w:bidi="fa-IR"/>
        </w:rPr>
        <w:t xml:space="preserve"> ثبوت محاربه است،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9213D9" w:rsidRPr="00D63EFE">
        <w:rPr>
          <w:rFonts w:ascii="IRBadr" w:hAnsi="IRBadr" w:cs="IRBadr"/>
          <w:sz w:val="28"/>
          <w:szCs w:val="28"/>
          <w:rtl/>
          <w:lang w:bidi="fa-IR"/>
        </w:rPr>
        <w:t xml:space="preserve"> اینجا طبق اصل قول به لزوم دو بار اقرار وجود ندارد،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 w:rsidR="009213D9" w:rsidRPr="00D63EFE">
        <w:rPr>
          <w:rFonts w:ascii="IRBadr" w:hAnsi="IRBadr" w:cs="IRBadr"/>
          <w:sz w:val="28"/>
          <w:szCs w:val="28"/>
          <w:rtl/>
          <w:lang w:bidi="fa-IR"/>
        </w:rPr>
        <w:t xml:space="preserve"> برخی قائل به احتیاط در این زمینه 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="009213D9" w:rsidRPr="00D63EFE">
        <w:rPr>
          <w:rFonts w:ascii="IRBadr" w:hAnsi="IRBadr" w:cs="IRBadr"/>
          <w:sz w:val="28"/>
          <w:szCs w:val="28"/>
          <w:rtl/>
          <w:lang w:bidi="fa-IR"/>
        </w:rPr>
        <w:t>.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9213D9" w:rsidRPr="00D63EFE">
        <w:rPr>
          <w:rFonts w:ascii="IRBadr" w:hAnsi="IRBadr" w:cs="IRBadr"/>
          <w:sz w:val="28"/>
          <w:szCs w:val="28"/>
          <w:rtl/>
          <w:lang w:bidi="fa-IR"/>
        </w:rPr>
        <w:t xml:space="preserve"> در قبال آن مستند یا اطلاقی وجود ندارد.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9213D9" w:rsidRPr="00D63EF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9213D9" w:rsidRPr="00D63EFE">
        <w:rPr>
          <w:rFonts w:ascii="IRBadr" w:hAnsi="IRBadr" w:cs="IRBadr"/>
          <w:sz w:val="28"/>
          <w:szCs w:val="28"/>
          <w:rtl/>
          <w:lang w:bidi="fa-IR"/>
        </w:rPr>
        <w:t xml:space="preserve"> که گفته شد خروج ز این قاعده کلی دلیل 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="009213D9" w:rsidRPr="00D63EFE">
        <w:rPr>
          <w:rFonts w:ascii="IRBadr" w:hAnsi="IRBadr" w:cs="IRBadr"/>
          <w:sz w:val="28"/>
          <w:szCs w:val="28"/>
          <w:rtl/>
          <w:lang w:bidi="fa-IR"/>
        </w:rPr>
        <w:t xml:space="preserve"> و در اینجا این دلیل مفقود است.</w:t>
      </w:r>
    </w:p>
    <w:p w:rsidR="009213D9" w:rsidRPr="00D63EFE" w:rsidRDefault="009213D9" w:rsidP="009213D9">
      <w:pPr>
        <w:pStyle w:val="Heading1"/>
        <w:rPr>
          <w:rFonts w:ascii="IRBadr" w:hAnsi="IRBadr" w:cs="IRBadr"/>
          <w:rtl/>
        </w:rPr>
      </w:pPr>
      <w:bookmarkStart w:id="3" w:name="_Toc427751684"/>
      <w:r w:rsidRPr="00D63EFE">
        <w:rPr>
          <w:rFonts w:ascii="IRBadr" w:hAnsi="IRBadr" w:cs="IRBadr"/>
          <w:rtl/>
        </w:rPr>
        <w:t>قول به احتیاط</w:t>
      </w:r>
      <w:bookmarkEnd w:id="3"/>
    </w:p>
    <w:p w:rsidR="009213D9" w:rsidRPr="00D63EFE" w:rsidRDefault="009213D9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احیاناً بعضی از عامه قائل‌اند که اقرار چون یکی از طرق اثباتی است و جای شاهدین را می‌گیرد </w:t>
      </w:r>
      <w:r w:rsidR="007F3121" w:rsidRPr="00D63EFE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که در شهادت تکرر شرط است، پس اقرار هم باید دو بار انجام بگیرد، ولی این استحسان بی وجهی است. </w:t>
      </w:r>
      <w:r w:rsidR="007F3121" w:rsidRPr="00D63EFE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احوط در این مقام باید حمل بر احوط استحبابی شود.</w:t>
      </w:r>
    </w:p>
    <w:p w:rsidR="009213D9" w:rsidRPr="00D63EFE" w:rsidRDefault="009213D9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>البته ممکن است کسی وجه این استحباب را قاعده درع قرار دهد.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این قاعده در اینجا معنایی ندارد لذا </w:t>
      </w:r>
      <w:r w:rsidR="007F3121" w:rsidRPr="00D63EFE">
        <w:rPr>
          <w:rFonts w:ascii="IRBadr" w:hAnsi="IRBadr" w:cs="IRBadr"/>
          <w:sz w:val="28"/>
          <w:szCs w:val="28"/>
          <w:rtl/>
          <w:lang w:bidi="fa-IR"/>
        </w:rPr>
        <w:t>هیچ‌کدام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از دو فرض احتیاط در اینجا معقول نیست.</w:t>
      </w:r>
    </w:p>
    <w:p w:rsidR="009213D9" w:rsidRPr="00D63EFE" w:rsidRDefault="009213D9" w:rsidP="009213D9">
      <w:pPr>
        <w:pStyle w:val="Heading1"/>
        <w:rPr>
          <w:rFonts w:ascii="IRBadr" w:hAnsi="IRBadr" w:cs="IRBadr"/>
          <w:rtl/>
        </w:rPr>
      </w:pPr>
      <w:bookmarkStart w:id="4" w:name="_Toc427751685"/>
      <w:r w:rsidRPr="00D63EFE">
        <w:rPr>
          <w:rFonts w:ascii="IRBadr" w:hAnsi="IRBadr" w:cs="IRBadr"/>
          <w:rtl/>
        </w:rPr>
        <w:t>شهادت زن در این مقام</w:t>
      </w:r>
      <w:bookmarkEnd w:id="4"/>
    </w:p>
    <w:p w:rsidR="009213D9" w:rsidRPr="00D63EFE" w:rsidRDefault="009213D9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>اما اینکه شهادت زن در این مقام مکفی هست یا خیر؟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این زمینه چند نظریه وجود دارد.</w:t>
      </w:r>
    </w:p>
    <w:p w:rsidR="009213D9" w:rsidRPr="00D63EFE" w:rsidRDefault="009213D9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>نظریه اول این است که اصلاً معتبر نیست،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احتمال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دوم در قبال فرض انضمام و استقلال به شهادتشان است و فرض سوم تفصیل در مسئله است،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اینجا یک مرد و دو زن کافی است.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قاعده کلی بود.</w:t>
      </w:r>
    </w:p>
    <w:p w:rsidR="009213D9" w:rsidRPr="00D63EFE" w:rsidRDefault="009213D9" w:rsidP="009213D9">
      <w:pPr>
        <w:pStyle w:val="Heading1"/>
        <w:rPr>
          <w:rFonts w:ascii="IRBadr" w:hAnsi="IRBadr" w:cs="IRBadr"/>
          <w:rtl/>
        </w:rPr>
      </w:pPr>
      <w:bookmarkStart w:id="5" w:name="_Toc427751686"/>
      <w:r w:rsidRPr="00D63EFE">
        <w:rPr>
          <w:rFonts w:ascii="IRBadr" w:hAnsi="IRBadr" w:cs="IRBadr"/>
          <w:rtl/>
        </w:rPr>
        <w:lastRenderedPageBreak/>
        <w:t>تطبیق بحث</w:t>
      </w:r>
      <w:bookmarkEnd w:id="5"/>
    </w:p>
    <w:p w:rsidR="009213D9" w:rsidRPr="00D63EFE" w:rsidRDefault="009213D9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>اما در این مقام باید دید حکم چیست؟</w:t>
      </w:r>
    </w:p>
    <w:p w:rsidR="009213D9" w:rsidRPr="00D63EFE" w:rsidRDefault="009213D9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در اینجا دلیل خاص وجود ندارد لذا به همان قواعد کلی در باب شهادت نساء مراجعه 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213D9" w:rsidRPr="00D63EFE" w:rsidRDefault="009213D9" w:rsidP="009213D9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«و لا تقبل شهادة النساء منفردات و لا منضمات» </w:t>
      </w:r>
      <w:r w:rsidRPr="00D63EFE">
        <w:rPr>
          <w:rStyle w:val="FootnoteReference"/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1"/>
      </w:r>
    </w:p>
    <w:p w:rsidR="009213D9" w:rsidRPr="00D63EFE" w:rsidRDefault="009213D9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در اینجا ما این اطلاق </w:t>
      </w:r>
      <w:r w:rsidR="007F3121" w:rsidRPr="00D63EFE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را قبول نداریم.</w:t>
      </w:r>
    </w:p>
    <w:p w:rsidR="009213D9" w:rsidRPr="00D63EFE" w:rsidRDefault="009213D9" w:rsidP="00CD7FC4">
      <w:pPr>
        <w:pStyle w:val="Heading1"/>
        <w:rPr>
          <w:rFonts w:ascii="IRBadr" w:hAnsi="IRBadr" w:cs="IRBadr"/>
          <w:rtl/>
        </w:rPr>
      </w:pPr>
      <w:bookmarkStart w:id="6" w:name="_Toc427751687"/>
      <w:r w:rsidRPr="00D63EFE">
        <w:rPr>
          <w:rFonts w:ascii="IRBadr" w:hAnsi="IRBadr" w:cs="IRBadr"/>
          <w:rtl/>
        </w:rPr>
        <w:t xml:space="preserve">شهادت </w:t>
      </w:r>
      <w:bookmarkEnd w:id="6"/>
      <w:r w:rsidR="00CD7FC4" w:rsidRPr="00CD7FC4">
        <w:rPr>
          <w:rFonts w:ascii="IRBadr" w:hAnsi="IRBadr" w:cs="IRBadr" w:hint="cs"/>
          <w:rtl/>
        </w:rPr>
        <w:t>قطاع</w:t>
      </w:r>
      <w:r w:rsidR="00CD7FC4" w:rsidRPr="00CD7FC4">
        <w:rPr>
          <w:rFonts w:ascii="IRBadr" w:hAnsi="IRBadr" w:cs="IRBadr"/>
          <w:rtl/>
        </w:rPr>
        <w:t xml:space="preserve"> </w:t>
      </w:r>
      <w:r w:rsidR="00CD7FC4" w:rsidRPr="00CD7FC4">
        <w:rPr>
          <w:rFonts w:ascii="IRBadr" w:hAnsi="IRBadr" w:cs="IRBadr" w:hint="cs"/>
          <w:rtl/>
        </w:rPr>
        <w:t>طریق</w:t>
      </w:r>
      <w:bookmarkStart w:id="7" w:name="_GoBack"/>
      <w:bookmarkEnd w:id="7"/>
    </w:p>
    <w:p w:rsidR="009213D9" w:rsidRPr="00D63EFE" w:rsidRDefault="009213D9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گاهی بین قطاع طریق اختلاف 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>می‌افتد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>،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فرد وقتی دستگیر 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علیه بقیه شهادت 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>،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طبعاً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این نحو از شهادت فاقد ارزش است.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در اینجا شبهه نفع وجود دارد و شهادت </w:t>
      </w:r>
      <w:r w:rsidR="007F3121" w:rsidRPr="00D63EFE">
        <w:rPr>
          <w:rFonts w:ascii="IRBadr" w:hAnsi="IRBadr" w:cs="IRBadr"/>
          <w:sz w:val="28"/>
          <w:szCs w:val="28"/>
          <w:rtl/>
          <w:lang w:bidi="fa-IR"/>
        </w:rPr>
        <w:t>ذی‌نفع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F3121" w:rsidRPr="00D63EFE">
        <w:rPr>
          <w:rFonts w:ascii="IRBadr" w:hAnsi="IRBadr" w:cs="IRBadr"/>
          <w:sz w:val="28"/>
          <w:szCs w:val="28"/>
          <w:rtl/>
          <w:lang w:bidi="fa-IR"/>
        </w:rPr>
        <w:t>موردپذیرش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قرار 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>نمی‌گیرد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>.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یکی از شرایط دیگری که در باب شهادت </w:t>
      </w:r>
      <w:r w:rsidR="007F3121" w:rsidRPr="00D63EFE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>،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عدم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التهمه است که این نیز در اینجا موجود است.</w:t>
      </w:r>
    </w:p>
    <w:p w:rsidR="009213D9" w:rsidRPr="00D63EFE" w:rsidRDefault="009213D9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بحث حجیت علم قاضی نیز دوباره در اینجا مطرح 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که اقوال در این زمینه سابقاً </w:t>
      </w:r>
      <w:r w:rsidR="007F3121" w:rsidRPr="00D63EFE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قرار گرفت.</w:t>
      </w:r>
    </w:p>
    <w:p w:rsidR="009213D9" w:rsidRPr="00D63EFE" w:rsidRDefault="009213D9" w:rsidP="009213D9">
      <w:pPr>
        <w:pStyle w:val="Heading2"/>
        <w:rPr>
          <w:rFonts w:ascii="IRBadr" w:hAnsi="IRBadr" w:cs="IRBadr"/>
          <w:rtl/>
        </w:rPr>
      </w:pPr>
      <w:bookmarkStart w:id="8" w:name="_Toc427751688"/>
      <w:r w:rsidRPr="00D63EFE">
        <w:rPr>
          <w:rFonts w:ascii="IRBadr" w:hAnsi="IRBadr" w:cs="IRBadr"/>
          <w:rtl/>
        </w:rPr>
        <w:t xml:space="preserve">تخییر حاکم در این </w:t>
      </w:r>
      <w:r w:rsidR="007F3121" w:rsidRPr="00D63EFE">
        <w:rPr>
          <w:rFonts w:ascii="IRBadr" w:hAnsi="IRBadr" w:cs="IRBadr"/>
          <w:rtl/>
        </w:rPr>
        <w:t>مسئله</w:t>
      </w:r>
      <w:bookmarkEnd w:id="8"/>
    </w:p>
    <w:p w:rsidR="009213D9" w:rsidRPr="00D63EFE" w:rsidRDefault="009213D9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>مسئله پنجم است که؛</w:t>
      </w:r>
    </w:p>
    <w:p w:rsidR="009213D9" w:rsidRPr="00D63EFE" w:rsidRDefault="009213D9" w:rsidP="009213D9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«مسألة 5: الأقو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الحدّ تخ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 الحا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 ب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 القتل و الصلب و القطع مخالفاً و النف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، و لا 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بعد أن 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ون الأول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ٰ أن 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لاحظ الجنا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ة و 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ختار ما 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ناسبها، فلو قتل اختار القتل أو الصلب، و لو أخذ المال اختار القطع، و لو شهر الس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 و أخاف فقط اختار النف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، و قد اضطربت 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لمات الفقهاء و الروا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ات، و الأول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ما ذ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رنا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2"/>
      </w:r>
    </w:p>
    <w:p w:rsidR="009213D9" w:rsidRPr="00D63EFE" w:rsidRDefault="009213D9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ایشان می‌فرمایند </w:t>
      </w:r>
      <w:r w:rsidR="00D63EFE">
        <w:rPr>
          <w:rFonts w:ascii="IRBadr" w:hAnsi="IRBadr" w:cs="IRBadr"/>
          <w:sz w:val="28"/>
          <w:szCs w:val="28"/>
          <w:rtl/>
          <w:lang w:bidi="fa-IR"/>
        </w:rPr>
        <w:t>اقوی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این است که حاکم مخیر است بین این چهار حد است و بعد می‌فرماید اولی این است که گزینه انتخابی او با مقدار جنایت و کم و کیف آن تناسب داشته باشد،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که نظریات فقها در این زمینه مضطرب است.</w:t>
      </w:r>
    </w:p>
    <w:p w:rsidR="009213D9" w:rsidRPr="00D63EFE" w:rsidRDefault="009213D9" w:rsidP="009213D9">
      <w:pPr>
        <w:pStyle w:val="Heading2"/>
        <w:rPr>
          <w:rFonts w:ascii="IRBadr" w:hAnsi="IRBadr" w:cs="IRBadr"/>
          <w:rtl/>
        </w:rPr>
      </w:pPr>
      <w:bookmarkStart w:id="9" w:name="_Toc427751689"/>
      <w:r w:rsidRPr="00D63EFE">
        <w:rPr>
          <w:rFonts w:ascii="IRBadr" w:hAnsi="IRBadr" w:cs="IRBadr"/>
          <w:rtl/>
        </w:rPr>
        <w:lastRenderedPageBreak/>
        <w:t>نظریات در این باب</w:t>
      </w:r>
      <w:bookmarkEnd w:id="9"/>
    </w:p>
    <w:p w:rsidR="009213D9" w:rsidRPr="00D63EFE" w:rsidRDefault="009213D9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>در این مسئله دو قول وجود دارد. یک قول ثبوت این حدود چهارگانه است به نحو تخییر و به اختیار حاکم و یک قول هم این است که این حدود به نحو ترتیب ثابت می‌شود، نه به نحو تخییر.</w:t>
      </w:r>
    </w:p>
    <w:p w:rsidR="009213D9" w:rsidRPr="00D63EFE" w:rsidRDefault="009213D9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در اینجا </w:t>
      </w:r>
      <w:r w:rsidR="007F3121" w:rsidRPr="00D63EFE">
        <w:rPr>
          <w:rFonts w:ascii="IRBadr" w:hAnsi="IRBadr" w:cs="IRBadr"/>
          <w:sz w:val="28"/>
          <w:szCs w:val="28"/>
          <w:rtl/>
          <w:lang w:bidi="fa-IR"/>
        </w:rPr>
        <w:t>عده‌ای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همچون امام،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مفید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>،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صدوق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و حلی معتقد به تخییر هستند و در مقابل مشهور قائل به ترتیب در 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>حکم‌اند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>.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حقیقت هر دو قول دارای قائلانی است.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شیخ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>،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اسکافی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و ابن زهره و در بین متأخرین آقای تبریزی، افرادی هستند که قائل به قوا ترتیب 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213D9" w:rsidRPr="00D63EFE" w:rsidRDefault="009213D9" w:rsidP="009213D9">
      <w:pPr>
        <w:pStyle w:val="Heading2"/>
        <w:rPr>
          <w:rFonts w:ascii="IRBadr" w:hAnsi="IRBadr" w:cs="IRBadr"/>
          <w:rtl/>
        </w:rPr>
      </w:pPr>
      <w:bookmarkStart w:id="10" w:name="_Toc427751690"/>
      <w:r w:rsidRPr="00D63EFE">
        <w:rPr>
          <w:rFonts w:ascii="IRBadr" w:hAnsi="IRBadr" w:cs="IRBadr"/>
          <w:rtl/>
        </w:rPr>
        <w:t>ادله بحث</w:t>
      </w:r>
      <w:bookmarkEnd w:id="10"/>
    </w:p>
    <w:p w:rsidR="009213D9" w:rsidRPr="00D63EFE" w:rsidRDefault="009213D9" w:rsidP="009213D9">
      <w:pPr>
        <w:pStyle w:val="Heading2"/>
        <w:rPr>
          <w:rFonts w:ascii="IRBadr" w:hAnsi="IRBadr" w:cs="IRBadr"/>
          <w:rtl/>
        </w:rPr>
      </w:pPr>
      <w:bookmarkStart w:id="11" w:name="_Toc427751691"/>
      <w:r w:rsidRPr="00D63EFE">
        <w:rPr>
          <w:rFonts w:ascii="IRBadr" w:hAnsi="IRBadr" w:cs="IRBadr"/>
          <w:rtl/>
        </w:rPr>
        <w:t>ادله تخییر</w:t>
      </w:r>
      <w:bookmarkEnd w:id="11"/>
    </w:p>
    <w:p w:rsidR="009213D9" w:rsidRPr="00D63EFE" w:rsidRDefault="009213D9" w:rsidP="009213D9">
      <w:pPr>
        <w:pStyle w:val="Heading2"/>
        <w:rPr>
          <w:rFonts w:ascii="IRBadr" w:hAnsi="IRBadr" w:cs="IRBadr"/>
          <w:rtl/>
        </w:rPr>
      </w:pPr>
      <w:bookmarkStart w:id="12" w:name="_Toc427751692"/>
      <w:r w:rsidRPr="00D63EFE">
        <w:rPr>
          <w:rFonts w:ascii="IRBadr" w:hAnsi="IRBadr" w:cs="IRBadr"/>
          <w:rtl/>
        </w:rPr>
        <w:t>دلیل اول</w:t>
      </w:r>
      <w:bookmarkEnd w:id="12"/>
    </w:p>
    <w:p w:rsidR="009213D9" w:rsidRPr="00D63EFE" w:rsidRDefault="007F3121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9213D9" w:rsidRPr="00D63EF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="009213D9" w:rsidRPr="00D63EFE">
        <w:rPr>
          <w:rFonts w:ascii="IRBadr" w:hAnsi="IRBadr" w:cs="IRBadr"/>
          <w:sz w:val="28"/>
          <w:szCs w:val="28"/>
          <w:rtl/>
          <w:lang w:bidi="fa-IR"/>
        </w:rPr>
        <w:t xml:space="preserve"> که برای تخییر وجود دارد، اطلاق آیه شریفه است که 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="009213D9" w:rsidRPr="00D63EFE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9213D9" w:rsidRPr="00D63EFE" w:rsidRDefault="009213D9" w:rsidP="009213D9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>«إِنَّما جَزاءُ الَّذِ</w:t>
      </w:r>
      <w:r w:rsidR="00CA1F6F"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نَ </w:t>
      </w:r>
      <w:r w:rsidR="00CA1F6F"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حارِبُونَ اللَّهَ وَ رَسُولَهُ وَ </w:t>
      </w:r>
      <w:r w:rsidR="00CA1F6F"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>سْعَوْنَ فِ</w:t>
      </w:r>
      <w:r w:rsidR="00CA1F6F"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الْأَرْضِ فَساداً أَنْ </w:t>
      </w:r>
      <w:r w:rsidR="00CA1F6F"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قَتَّلُوا أَوْ </w:t>
      </w:r>
      <w:r w:rsidR="00CA1F6F"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>صَلَّبُوا أَوْ تُقَطَّعَ أَ</w:t>
      </w:r>
      <w:r w:rsidR="00CA1F6F"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>دِ</w:t>
      </w:r>
      <w:r w:rsidR="00CA1F6F"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هِمْ وَ أَرْجُلُهُمْ مِنْ خِلافٍ أَوْ </w:t>
      </w:r>
      <w:r w:rsidR="00CA1F6F"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>نْفَوْا مِنَ الْأَرْضِ ذلِ</w:t>
      </w:r>
      <w:r w:rsidR="00CA1F6F"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لَهُمْ خِزْ</w:t>
      </w:r>
      <w:r w:rsidR="00CA1F6F"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فِ</w:t>
      </w:r>
      <w:r w:rsidR="00CA1F6F"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الدُّنْ</w:t>
      </w:r>
      <w:r w:rsidR="00CA1F6F"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>ا وَ لَهُمْ فِ</w:t>
      </w:r>
      <w:r w:rsidR="00CA1F6F"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الْآخِرَةِ عَذابٌ </w:t>
      </w:r>
      <w:r w:rsidR="00CA1F6F"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>عَظِیمٌ</w:t>
      </w:r>
      <w:r w:rsidRPr="00D63EFE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D63EFE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3"/>
      </w:r>
    </w:p>
    <w:p w:rsidR="009213D9" w:rsidRPr="00D63EFE" w:rsidRDefault="00CA1F6F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>البته</w:t>
      </w:r>
      <w:r w:rsidR="009213D9" w:rsidRPr="00D63EFE">
        <w:rPr>
          <w:rFonts w:ascii="IRBadr" w:hAnsi="IRBadr" w:cs="IRBadr"/>
          <w:sz w:val="28"/>
          <w:szCs w:val="28"/>
          <w:rtl/>
          <w:lang w:bidi="fa-IR"/>
        </w:rPr>
        <w:t xml:space="preserve"> رسیدن به تخییر در اینجا از دلالت بالاطلاق است نه به نحوی صریح.</w:t>
      </w:r>
    </w:p>
    <w:p w:rsidR="009213D9" w:rsidRPr="00D63EFE" w:rsidRDefault="009213D9" w:rsidP="009213D9">
      <w:pPr>
        <w:pStyle w:val="Heading2"/>
        <w:rPr>
          <w:rFonts w:ascii="IRBadr" w:hAnsi="IRBadr" w:cs="IRBadr"/>
          <w:rtl/>
        </w:rPr>
      </w:pPr>
      <w:bookmarkStart w:id="13" w:name="_Toc427751693"/>
      <w:r w:rsidRPr="00D63EFE">
        <w:rPr>
          <w:rFonts w:ascii="IRBadr" w:hAnsi="IRBadr" w:cs="IRBadr"/>
          <w:rtl/>
        </w:rPr>
        <w:t>دلیل دوم</w:t>
      </w:r>
      <w:bookmarkEnd w:id="13"/>
    </w:p>
    <w:p w:rsidR="009213D9" w:rsidRPr="00D63EFE" w:rsidRDefault="009213D9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>علاوه بر آیه شریفه حدیث نیز بر این مطلب دلالت دارد که در جلد هیجده،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ابواب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حد محارب، باب اول حدیث سوم، صفحه پانصد و </w:t>
      </w:r>
      <w:r w:rsidR="007F3121" w:rsidRPr="00D63EFE">
        <w:rPr>
          <w:rFonts w:ascii="IRBadr" w:hAnsi="IRBadr" w:cs="IRBadr"/>
          <w:sz w:val="28"/>
          <w:szCs w:val="28"/>
          <w:rtl/>
          <w:lang w:bidi="fa-IR"/>
        </w:rPr>
        <w:t>سی‌وسه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F3121" w:rsidRPr="00D63EFE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است و حدیث معتبری است؛</w:t>
      </w:r>
    </w:p>
    <w:p w:rsidR="009213D9" w:rsidRPr="00D63EFE" w:rsidRDefault="009213D9" w:rsidP="009213D9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«عَلِ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أَبِ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عَنِ ابْنِ أَبِ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عُمَ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رٍ عَنْ جَمِ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لِ بْنِ دَرَّاجٍ قَالَ سَأَلْتُ أَبَا عَبْدِ اللَّهِ ع عَنْ قَوْلِ اللَّهِ عَزَّ وَ جَلَّ إِنَّما جَزاءُ الَّذِ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نَ 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حارِبُونَ اللّهَ وَ رَسُولَهُ وَ 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سْعَوْنَ فِ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الْأَرْضِ فَساداً أَنْ 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قَتَّلُوا أَوْ 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صَلَّبُوا إِلَ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آخِرِ الْآ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ةِ فَقُلْتُ أَ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شَ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‌ءٍ عَلَ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هِمْ مِنْ هَذِهِ الْحُدُودِ 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lastRenderedPageBreak/>
        <w:t>الَّتِ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سَمَّ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اللَّهُ قَالَ ذَلِ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إِلَ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الْإِمَامِ إِنْ شَاءَ قَطَعَ وَ إِنْ شَاءَ صَلَبَ وَ إِنْ شَاءَ نَفَ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إِنْ شَاءَ قَتَلَ قُلْتُ النَّفْ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إِلَ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نَ قَالَ 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نْفَ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مِنْ مِصْرٍ إِلَ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مِصْرٍ آخَرَ وَ قَالَ إِنَّ عَلِ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اً ع نَفَ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رَجُلَ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نِ مِنَ الْ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وفَةِ إِلَ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الْبَصْرَةِ.» 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4"/>
      </w:r>
    </w:p>
    <w:p w:rsidR="009213D9" w:rsidRPr="00D63EFE" w:rsidRDefault="009213D9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برای محارب </w:t>
      </w:r>
      <w:r w:rsidR="007F3121" w:rsidRPr="00D63EFE">
        <w:rPr>
          <w:rFonts w:ascii="IRBadr" w:hAnsi="IRBadr" w:cs="IRBadr"/>
          <w:sz w:val="28"/>
          <w:szCs w:val="28"/>
          <w:rtl/>
          <w:lang w:bidi="fa-IR"/>
        </w:rPr>
        <w:t>کدام‌یک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از این‌ها و چطور ثابت است؟ حضرت پاسخ می‌دهند؛ هر کاری می‌خواهد بکند،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روایت دارای ظهور </w:t>
      </w:r>
      <w:r w:rsidR="007F3121" w:rsidRPr="00D63EFE">
        <w:rPr>
          <w:rFonts w:ascii="IRBadr" w:hAnsi="IRBadr" w:cs="IRBadr"/>
          <w:sz w:val="28"/>
          <w:szCs w:val="28"/>
          <w:rtl/>
          <w:lang w:bidi="fa-IR"/>
        </w:rPr>
        <w:t>قوی‌ای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F3121" w:rsidRPr="00D63EFE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تخییر است.</w:t>
      </w:r>
    </w:p>
    <w:p w:rsidR="009213D9" w:rsidRPr="00D63EFE" w:rsidRDefault="009213D9" w:rsidP="009213D9">
      <w:pPr>
        <w:pStyle w:val="Heading2"/>
        <w:rPr>
          <w:rFonts w:ascii="IRBadr" w:hAnsi="IRBadr" w:cs="IRBadr"/>
          <w:rtl/>
        </w:rPr>
      </w:pPr>
      <w:bookmarkStart w:id="14" w:name="_Toc427751694"/>
      <w:r w:rsidRPr="00D63EFE">
        <w:rPr>
          <w:rFonts w:ascii="IRBadr" w:hAnsi="IRBadr" w:cs="IRBadr"/>
          <w:rtl/>
        </w:rPr>
        <w:t>دلیل سوم</w:t>
      </w:r>
      <w:bookmarkEnd w:id="14"/>
    </w:p>
    <w:p w:rsidR="009213D9" w:rsidRPr="00D63EFE" w:rsidRDefault="009213D9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>دلیل بعدی هم روایت نهم از همین باب است که احتمالاً معتبر است؛</w:t>
      </w:r>
    </w:p>
    <w:p w:rsidR="009213D9" w:rsidRPr="00D63EFE" w:rsidRDefault="009213D9" w:rsidP="009213D9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«وَ عَنْ سَمَاعَةَ بْنِ مِهْرَانَ عَنْ أَبِ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فِ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قَوْلِ اللَّهِ إِنَّما جَزاءُ الَّذِ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نَ 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حارِبُونَ اللّهَ وَ رَسُولَهُ - قَالَ الْإِمَامُ فِ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الْحُ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مِ فِ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هِمْ بِالْخِ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ارِ- إِنْ شَاءَ قَتَلَ وَ إِنْ شَاءَ صَلَبَ- وَ إِنْ شَاءَ قَطَعَ وَ إِنْ شَاءَ نَفَ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مِنَ الْأَرْضِ.» 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5"/>
      </w:r>
    </w:p>
    <w:p w:rsidR="009213D9" w:rsidRPr="00D63EFE" w:rsidRDefault="009213D9" w:rsidP="009213D9">
      <w:pPr>
        <w:pStyle w:val="Heading2"/>
        <w:rPr>
          <w:rFonts w:ascii="IRBadr" w:hAnsi="IRBadr" w:cs="IRBadr"/>
          <w:rtl/>
        </w:rPr>
      </w:pPr>
      <w:bookmarkStart w:id="15" w:name="_Toc427751695"/>
      <w:r w:rsidRPr="00D63EFE">
        <w:rPr>
          <w:rFonts w:ascii="IRBadr" w:hAnsi="IRBadr" w:cs="IRBadr"/>
          <w:rtl/>
        </w:rPr>
        <w:t>مستندات ترتیب</w:t>
      </w:r>
      <w:bookmarkEnd w:id="15"/>
    </w:p>
    <w:p w:rsidR="009213D9" w:rsidRPr="00D63EFE" w:rsidRDefault="009213D9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روایاتی که ترتیب را افاده 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>می‌دهند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بیش از روایات تخییر هستند؛</w:t>
      </w:r>
    </w:p>
    <w:p w:rsidR="009213D9" w:rsidRPr="00D63EFE" w:rsidRDefault="009213D9" w:rsidP="009213D9">
      <w:pPr>
        <w:pStyle w:val="Heading2"/>
        <w:rPr>
          <w:rFonts w:ascii="IRBadr" w:hAnsi="IRBadr" w:cs="IRBadr"/>
          <w:rtl/>
        </w:rPr>
      </w:pPr>
      <w:bookmarkStart w:id="16" w:name="_Toc427751696"/>
      <w:r w:rsidRPr="00D63EFE">
        <w:rPr>
          <w:rFonts w:ascii="IRBadr" w:hAnsi="IRBadr" w:cs="IRBadr"/>
          <w:rtl/>
        </w:rPr>
        <w:t>روایت اول</w:t>
      </w:r>
      <w:bookmarkEnd w:id="16"/>
    </w:p>
    <w:p w:rsidR="009213D9" w:rsidRPr="00D63EFE" w:rsidRDefault="009213D9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این روایت، روایت </w:t>
      </w:r>
      <w:r w:rsidR="007F3121" w:rsidRPr="00D63EFE">
        <w:rPr>
          <w:rFonts w:ascii="IRBadr" w:hAnsi="IRBadr" w:cs="IRBadr"/>
          <w:sz w:val="28"/>
          <w:szCs w:val="28"/>
          <w:rtl/>
          <w:lang w:bidi="fa-IR"/>
        </w:rPr>
        <w:t>معتبره ای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</w:p>
    <w:p w:rsidR="009213D9" w:rsidRPr="00D63EFE" w:rsidRDefault="009213D9" w:rsidP="009213D9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«مُحَمَّدُ بْنُ 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حْ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أَحْمَدَ بْنِ مُحَمَّدٍ عَنِ ابْنِ مَحْبُوبٍ عَنْ أَبِ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وبَ عَنْ مُحَمَّدِ بْنِ مُسْلِمٍ عَنْ أَبِ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جَعْفَرٍ ع قَالَ: مَنْ شَهَرَ السِّلَاحَ فِ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مِصْرٍ مِنَ الْأَمْصَارِ فَعَقَرَ اقْتُصَّ مِنْهُ وَ نُفِ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مِنْ تِلْ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الْبَلْدَةِ وَ مَنْ شَهَرَ السِّلَاحَ فِ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غَ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رِ الْأَمْصَارِ وَ ضَرَبَ وَ عَقَرَ وَ أَخَذَ الْمَالَ وَ لَمْ 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قْتُلْ فَهُوَ مُحَارِبٌ فَجَزَاؤُهُ جَزَاءُ الْمُحَارِبِ وَ أَمْرُهُ إِلَ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الْإِمَامِ إِنْ شَاءَ قَتَلَهُ وَ [إِنْ شَاءَ] صَلَبَهُ وَ إِنْ شَاءَ قَطَعَ 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دَهُ وَ رِجْلَهُ قَالَ وَ إِنْ ضَرَبَ وَ قَتَلَ وَ أَخَذَ الْمَالَ فَعَلَ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الْإِمَامِ أَنْ 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قْطَعَ 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دَهُ الْ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مْنَ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بِالسَّرِقَةِ ثُمَّ 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دْفَعَهُ إِلَ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أَوْلِ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اءِ الْمَقْتُولِ فَ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تْبَعُونَهُ بِالْمَالِ ثُمَّ 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قْتُلُونَهُ قَالَ فَقَالَ أَبُو عُبَ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دَةَ أَصْلَحَ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اللَّهُ أَ رَأَ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تَ إِنْ عَفَا عَنْهُ أَوْلِ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اءُ الْمَقْتُولِ قَالَ فَقَالَ أَبُو جَعْفَرٍ ع إِنْ 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lastRenderedPageBreak/>
        <w:t>عَفَوْا عَنْهُ فَإِنَّ عَلَ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الْإِمَامِ أَنْ 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قْتُلَهُ لِأَنَّهُ قَدْ حَارَبَ وَ قَتَلَ وَ سَرَقَ قَالَ فَقَالَ أَبُو عُبَ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دَةَ أَ رَأَ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تَ إِنْ أَرَادَ أَوْلِ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اءُ الْمَقْتُولِ أَنْ 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أْخُذُوا مِنْهُ الدِّ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ةَ وَ 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دَعُونَهُ أَ لَهُمْ ذَلِ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قَالَ فَقَالَ لَا عَلَ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الْقَتْلُ.</w:t>
      </w:r>
      <w:r w:rsidR="00CA1F6F"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D63EF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6"/>
      </w:r>
    </w:p>
    <w:p w:rsidR="009213D9" w:rsidRPr="00D63EFE" w:rsidRDefault="009213D9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>ترتیب نیز معنایش این است که ویژگی مورد مؤثر در انتخاب آن است.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لفظ ترتیب در روایات ذکر نشده است.</w:t>
      </w:r>
    </w:p>
    <w:p w:rsidR="009213D9" w:rsidRPr="00D63EFE" w:rsidRDefault="009213D9" w:rsidP="009213D9">
      <w:pPr>
        <w:pStyle w:val="Heading2"/>
        <w:rPr>
          <w:rFonts w:ascii="IRBadr" w:hAnsi="IRBadr" w:cs="IRBadr"/>
          <w:rtl/>
        </w:rPr>
      </w:pPr>
      <w:bookmarkStart w:id="17" w:name="_Toc427751697"/>
      <w:r w:rsidRPr="00D63EFE">
        <w:rPr>
          <w:rFonts w:ascii="IRBadr" w:hAnsi="IRBadr" w:cs="IRBadr"/>
          <w:rtl/>
        </w:rPr>
        <w:t>روایت دوم</w:t>
      </w:r>
      <w:bookmarkEnd w:id="17"/>
    </w:p>
    <w:p w:rsidR="009213D9" w:rsidRPr="00D63EFE" w:rsidRDefault="009213D9" w:rsidP="009213D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sz w:val="28"/>
          <w:szCs w:val="28"/>
          <w:rtl/>
          <w:lang w:bidi="fa-IR"/>
        </w:rPr>
        <w:t>روایت دیگری که دلالت بر ترتیب می‌کند،</w:t>
      </w:r>
      <w:r w:rsidR="00CA1F6F" w:rsidRPr="00D63EFE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D63EFE">
        <w:rPr>
          <w:rFonts w:ascii="IRBadr" w:hAnsi="IRBadr" w:cs="IRBadr"/>
          <w:sz w:val="28"/>
          <w:szCs w:val="28"/>
          <w:rtl/>
          <w:lang w:bidi="fa-IR"/>
        </w:rPr>
        <w:t xml:space="preserve"> چهارم است که سندش معتبر است و می‌فرماید؛</w:t>
      </w:r>
    </w:p>
    <w:p w:rsidR="009213D9" w:rsidRPr="00D63EFE" w:rsidRDefault="009213D9" w:rsidP="009213D9">
      <w:pPr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وَ عَنْهُ عَنْ أَبِ</w:t>
      </w:r>
      <w:r w:rsidR="00CA1F6F"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عَنْ عَمْرِو بْنِ عُثْمَانَ عَنْ عُبَ</w:t>
      </w:r>
      <w:r w:rsidR="00CA1F6F"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دِ اللَّهِ الْمَدَائِنِ</w:t>
      </w:r>
      <w:r w:rsidR="00CA1F6F"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أَبِ</w:t>
      </w:r>
      <w:r w:rsidR="00CA1F6F"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الْحَسَنِ الرِّضَا ع قَالَ: سُئِلَ عَنْ قَوْلِ اللَّهِ عَزَّ وَ جَلَّ إِنَّما جَزاءُ الَّذِ</w:t>
      </w:r>
      <w:r w:rsidR="00CA1F6F"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 </w:t>
      </w:r>
      <w:r w:rsidR="00CA1F6F"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حارِبُونَ اللَّه وَ رَسُولَهُ- وَ </w:t>
      </w:r>
      <w:r w:rsidR="00CA1F6F"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سْعَوْنَ فِ</w:t>
      </w:r>
      <w:r w:rsidR="00CA1F6F"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الْأَرْضِ فَساداً - الْآ</w:t>
      </w:r>
      <w:r w:rsidR="00CA1F6F"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ةَ فَمَا الَّذِ</w:t>
      </w:r>
      <w:r w:rsidR="00CA1F6F"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إِذَا فَعَلَهُ اسْتَوْجَبَ وَاحِدَةً مِنْ هَذِهِ الْأَرْبَعِ- فَقَالَ إِذَا حَارَبَ اللَّهَ وَ رَسُولَهُ- وَ سَعَ</w:t>
      </w:r>
      <w:r w:rsidR="00CA1F6F"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فِ</w:t>
      </w:r>
      <w:r w:rsidR="00CA1F6F"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الْأَرْضِ فَسَاداً فَقَتَلَ قُتِلَ بِهِ- وَ إِنْ قَتَلَ وَ أَخَذَ الْمَالَ قُتِلَ وَ صُلِبَ- وَ إِنْ أَخَذَ الْمَالَ وَ لَمْ </w:t>
      </w:r>
      <w:r w:rsidR="00CA1F6F"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قْتُلْ- قُطِعَتْ </w:t>
      </w:r>
      <w:r w:rsidR="00CA1F6F"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دُهُ وَ رِجْلُهُ مِنْ خِلَافٍ- وَ إِنْ شَهَرَ السَّ</w:t>
      </w:r>
      <w:r w:rsidR="00CA1F6F"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فَ وَ حَارَبَ اللَّهَ وَ رَسُولَهُ- وَ سَعَ</w:t>
      </w:r>
      <w:r w:rsidR="00CA1F6F"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فِ</w:t>
      </w:r>
      <w:r w:rsidR="00CA1F6F"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الْأَرْضِ فَسَاداً- وَ لَمْ </w:t>
      </w:r>
      <w:r w:rsidR="00CA1F6F"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قْتُلْ وَ لَمْ </w:t>
      </w:r>
      <w:r w:rsidR="00CA1F6F"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أْخُذِ الْمَالَ نُفِ</w:t>
      </w:r>
      <w:r w:rsidR="00CA1F6F"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مِنَ الْأَرْضِ الْحَدِ</w:t>
      </w:r>
      <w:r w:rsidR="00CA1F6F"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ثَ.</w:t>
      </w:r>
      <w:r w:rsidR="00CA1F6F" w:rsidRPr="00D63E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D63EFE">
        <w:rPr>
          <w:rFonts w:ascii="IRBadr" w:hAnsi="IRBadr" w:cs="IRBadr"/>
          <w:b/>
          <w:bCs/>
          <w:color w:val="000000" w:themeColor="text1"/>
          <w:sz w:val="28"/>
          <w:szCs w:val="28"/>
          <w:vertAlign w:val="superscript"/>
          <w:rtl/>
        </w:rPr>
        <w:footnoteReference w:id="7"/>
      </w:r>
    </w:p>
    <w:p w:rsidR="009213D9" w:rsidRPr="00D63EFE" w:rsidRDefault="009213D9" w:rsidP="009213D9">
      <w:pPr>
        <w:bidi/>
        <w:spacing w:before="100" w:beforeAutospacing="1" w:after="100" w:afterAutospacing="1" w:line="240" w:lineRule="auto"/>
        <w:rPr>
          <w:rFonts w:ascii="IRBadr" w:eastAsia="Times New Roman" w:hAnsi="IRBadr" w:cs="IRBadr"/>
          <w:color w:val="000000"/>
          <w:sz w:val="2"/>
          <w:szCs w:val="2"/>
          <w:rtl/>
          <w:lang w:bidi="fa-IR"/>
        </w:rPr>
      </w:pPr>
    </w:p>
    <w:p w:rsidR="00152670" w:rsidRPr="00D63EFE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D63EFE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0D" w:rsidRDefault="006E100D" w:rsidP="000D5800">
      <w:pPr>
        <w:spacing w:after="0" w:line="240" w:lineRule="auto"/>
      </w:pPr>
      <w:r>
        <w:separator/>
      </w:r>
    </w:p>
  </w:endnote>
  <w:endnote w:type="continuationSeparator" w:id="0">
    <w:p w:rsidR="006E100D" w:rsidRDefault="006E100D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0D" w:rsidRDefault="006E100D" w:rsidP="005A23DF">
      <w:pPr>
        <w:bidi/>
        <w:spacing w:after="0" w:line="240" w:lineRule="auto"/>
      </w:pPr>
      <w:r>
        <w:separator/>
      </w:r>
    </w:p>
  </w:footnote>
  <w:footnote w:type="continuationSeparator" w:id="0">
    <w:p w:rsidR="006E100D" w:rsidRDefault="006E100D" w:rsidP="000D5800">
      <w:pPr>
        <w:spacing w:after="0" w:line="240" w:lineRule="auto"/>
      </w:pPr>
      <w:r>
        <w:continuationSeparator/>
      </w:r>
    </w:p>
  </w:footnote>
  <w:footnote w:id="1">
    <w:p w:rsidR="009213D9" w:rsidRDefault="009213D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213D9">
        <w:rPr>
          <w:rFonts w:ascii="Noor_Titr" w:hAnsi="Noor_Titr" w:cs="B Badr" w:hint="cs"/>
          <w:color w:val="000000" w:themeColor="text1"/>
          <w:rtl/>
        </w:rPr>
        <w:t>تحر</w:t>
      </w:r>
      <w:r w:rsidR="00CA1F6F">
        <w:rPr>
          <w:rFonts w:ascii="Noor_Titr" w:hAnsi="Noor_Titr" w:cs="B Badr" w:hint="cs"/>
          <w:color w:val="000000" w:themeColor="text1"/>
          <w:rtl/>
        </w:rPr>
        <w:t>ی</w:t>
      </w:r>
      <w:r w:rsidRPr="009213D9">
        <w:rPr>
          <w:rFonts w:ascii="Noor_Titr" w:hAnsi="Noor_Titr" w:cs="B Badr" w:hint="cs"/>
          <w:color w:val="000000" w:themeColor="text1"/>
          <w:rtl/>
        </w:rPr>
        <w:t>ر الوس</w:t>
      </w:r>
      <w:r w:rsidR="00CA1F6F">
        <w:rPr>
          <w:rFonts w:ascii="Noor_Titr" w:hAnsi="Noor_Titr" w:cs="B Badr" w:hint="cs"/>
          <w:color w:val="000000" w:themeColor="text1"/>
          <w:rtl/>
        </w:rPr>
        <w:t>ی</w:t>
      </w:r>
      <w:r w:rsidRPr="009213D9">
        <w:rPr>
          <w:rFonts w:ascii="Noor_Titr" w:hAnsi="Noor_Titr" w:cs="B Badr" w:hint="cs"/>
          <w:color w:val="000000" w:themeColor="text1"/>
          <w:rtl/>
        </w:rPr>
        <w:t xml:space="preserve">لة؛ </w:t>
      </w:r>
      <w:r w:rsidR="00CA1F6F">
        <w:rPr>
          <w:rFonts w:ascii="Noor_Titr" w:hAnsi="Noor_Titr" w:cs="B Badr"/>
          <w:color w:val="000000" w:themeColor="text1"/>
          <w:rtl/>
        </w:rPr>
        <w:t>ج 2</w:t>
      </w:r>
      <w:r w:rsidRPr="009213D9">
        <w:rPr>
          <w:rFonts w:ascii="Noor_Titr" w:hAnsi="Noor_Titr" w:cs="B Badr" w:hint="cs"/>
          <w:color w:val="000000" w:themeColor="text1"/>
          <w:rtl/>
        </w:rPr>
        <w:t>، ص: 479</w:t>
      </w:r>
    </w:p>
  </w:footnote>
  <w:footnote w:id="2">
    <w:p w:rsidR="009213D9" w:rsidRDefault="009213D9" w:rsidP="009213D9">
      <w:pPr>
        <w:pStyle w:val="FootnoteText"/>
        <w:rPr>
          <w:rtl/>
        </w:rPr>
      </w:pPr>
      <w:r w:rsidRPr="00155713">
        <w:rPr>
          <w:rStyle w:val="FootnoteReference"/>
          <w:rFonts w:ascii="Noor_Titr" w:hAnsi="Noor_Titr" w:cs="B Badr"/>
          <w:color w:val="000000" w:themeColor="text1"/>
          <w:rtl/>
        </w:rPr>
        <w:footnoteRef/>
      </w:r>
      <w:r w:rsidRPr="00155713">
        <w:rPr>
          <w:rFonts w:ascii="Noor_Titr" w:hAnsi="Noor_Titr" w:cs="B Badr" w:hint="cs"/>
          <w:color w:val="000000" w:themeColor="text1"/>
          <w:rtl/>
        </w:rPr>
        <w:t>تفص</w:t>
      </w:r>
      <w:r w:rsidR="00CA1F6F">
        <w:rPr>
          <w:rFonts w:ascii="Noor_Titr" w:hAnsi="Noor_Titr" w:cs="B Badr" w:hint="cs"/>
          <w:color w:val="000000" w:themeColor="text1"/>
          <w:rtl/>
        </w:rPr>
        <w:t>ی</w:t>
      </w:r>
      <w:r w:rsidRPr="00155713">
        <w:rPr>
          <w:rFonts w:ascii="Noor_Titr" w:hAnsi="Noor_Titr" w:cs="B Badr" w:hint="cs"/>
          <w:color w:val="000000" w:themeColor="text1"/>
          <w:rtl/>
        </w:rPr>
        <w:t>ل الشر</w:t>
      </w:r>
      <w:r w:rsidR="00CA1F6F">
        <w:rPr>
          <w:rFonts w:ascii="Noor_Titr" w:hAnsi="Noor_Titr" w:cs="B Badr" w:hint="cs"/>
          <w:color w:val="000000" w:themeColor="text1"/>
          <w:rtl/>
        </w:rPr>
        <w:t>ی</w:t>
      </w:r>
      <w:r w:rsidRPr="00155713">
        <w:rPr>
          <w:rFonts w:ascii="Noor_Titr" w:hAnsi="Noor_Titr" w:cs="B Badr" w:hint="cs"/>
          <w:color w:val="000000" w:themeColor="text1"/>
          <w:rtl/>
        </w:rPr>
        <w:t>عة ف</w:t>
      </w:r>
      <w:r w:rsidR="00CA1F6F">
        <w:rPr>
          <w:rFonts w:ascii="Noor_Titr" w:hAnsi="Noor_Titr" w:cs="B Badr" w:hint="cs"/>
          <w:color w:val="000000" w:themeColor="text1"/>
          <w:rtl/>
        </w:rPr>
        <w:t>ی</w:t>
      </w:r>
      <w:r w:rsidRPr="00155713">
        <w:rPr>
          <w:rFonts w:ascii="Noor_Titr" w:hAnsi="Noor_Titr" w:cs="B Badr" w:hint="cs"/>
          <w:color w:val="000000" w:themeColor="text1"/>
          <w:rtl/>
        </w:rPr>
        <w:t xml:space="preserve"> شرح تحر</w:t>
      </w:r>
      <w:r w:rsidR="00CA1F6F">
        <w:rPr>
          <w:rFonts w:ascii="Noor_Titr" w:hAnsi="Noor_Titr" w:cs="B Badr" w:hint="cs"/>
          <w:color w:val="000000" w:themeColor="text1"/>
          <w:rtl/>
        </w:rPr>
        <w:t>ی</w:t>
      </w:r>
      <w:r w:rsidRPr="00155713">
        <w:rPr>
          <w:rFonts w:ascii="Noor_Titr" w:hAnsi="Noor_Titr" w:cs="B Badr" w:hint="cs"/>
          <w:color w:val="000000" w:themeColor="text1"/>
          <w:rtl/>
        </w:rPr>
        <w:t>ر الوس</w:t>
      </w:r>
      <w:r w:rsidR="00CA1F6F">
        <w:rPr>
          <w:rFonts w:ascii="Noor_Titr" w:hAnsi="Noor_Titr" w:cs="B Badr" w:hint="cs"/>
          <w:color w:val="000000" w:themeColor="text1"/>
          <w:rtl/>
        </w:rPr>
        <w:t>ی</w:t>
      </w:r>
      <w:r w:rsidRPr="00155713">
        <w:rPr>
          <w:rFonts w:ascii="Noor_Titr" w:hAnsi="Noor_Titr" w:cs="B Badr" w:hint="cs"/>
          <w:color w:val="000000" w:themeColor="text1"/>
          <w:rtl/>
        </w:rPr>
        <w:t>لة - الحدود؛ ص: 652</w:t>
      </w:r>
    </w:p>
  </w:footnote>
  <w:footnote w:id="3">
    <w:p w:rsidR="009213D9" w:rsidRDefault="009213D9" w:rsidP="009213D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155713">
        <w:rPr>
          <w:rFonts w:cs="B Badr" w:hint="cs"/>
          <w:rtl/>
        </w:rPr>
        <w:t>33/ مائده</w:t>
      </w:r>
    </w:p>
  </w:footnote>
  <w:footnote w:id="4">
    <w:p w:rsidR="009213D9" w:rsidRDefault="009213D9" w:rsidP="009213D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155713">
        <w:rPr>
          <w:rFonts w:ascii="Noor_Titr" w:hAnsi="Noor_Titr" w:cs="B Badr" w:hint="cs"/>
          <w:color w:val="000000" w:themeColor="text1"/>
          <w:rtl/>
        </w:rPr>
        <w:t>تهذ</w:t>
      </w:r>
      <w:r w:rsidR="00CA1F6F">
        <w:rPr>
          <w:rFonts w:ascii="Noor_Titr" w:hAnsi="Noor_Titr" w:cs="B Badr" w:hint="cs"/>
          <w:color w:val="000000" w:themeColor="text1"/>
          <w:rtl/>
        </w:rPr>
        <w:t>ی</w:t>
      </w:r>
      <w:r w:rsidRPr="00155713">
        <w:rPr>
          <w:rFonts w:ascii="Noor_Titr" w:hAnsi="Noor_Titr" w:cs="B Badr" w:hint="cs"/>
          <w:color w:val="000000" w:themeColor="text1"/>
          <w:rtl/>
        </w:rPr>
        <w:t>ب الأح</w:t>
      </w:r>
      <w:r w:rsidR="00CA1F6F">
        <w:rPr>
          <w:rFonts w:ascii="Noor_Titr" w:hAnsi="Noor_Titr" w:cs="B Badr" w:hint="cs"/>
          <w:color w:val="000000" w:themeColor="text1"/>
          <w:rtl/>
        </w:rPr>
        <w:t>ک</w:t>
      </w:r>
      <w:r w:rsidRPr="00155713">
        <w:rPr>
          <w:rFonts w:ascii="Noor_Titr" w:hAnsi="Noor_Titr" w:cs="B Badr" w:hint="cs"/>
          <w:color w:val="000000" w:themeColor="text1"/>
          <w:rtl/>
        </w:rPr>
        <w:t xml:space="preserve">ام؛ </w:t>
      </w:r>
      <w:r w:rsidR="00CA1F6F">
        <w:rPr>
          <w:rFonts w:ascii="Noor_Titr" w:hAnsi="Noor_Titr" w:cs="B Badr"/>
          <w:color w:val="000000" w:themeColor="text1"/>
          <w:rtl/>
        </w:rPr>
        <w:t>ج 10</w:t>
      </w:r>
      <w:r w:rsidRPr="00155713">
        <w:rPr>
          <w:rFonts w:ascii="Noor_Titr" w:hAnsi="Noor_Titr" w:cs="B Badr" w:hint="cs"/>
          <w:color w:val="000000" w:themeColor="text1"/>
          <w:rtl/>
        </w:rPr>
        <w:t>، ص: 133</w:t>
      </w:r>
    </w:p>
  </w:footnote>
  <w:footnote w:id="5">
    <w:p w:rsidR="009213D9" w:rsidRDefault="009213D9" w:rsidP="009213D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316AA8">
        <w:rPr>
          <w:rFonts w:ascii="Noor_Titr" w:hAnsi="Noor_Titr" w:cs="B Badr" w:hint="cs"/>
          <w:color w:val="000000" w:themeColor="text1"/>
          <w:rtl/>
        </w:rPr>
        <w:t>وسائل الش</w:t>
      </w:r>
      <w:r w:rsidR="00CA1F6F">
        <w:rPr>
          <w:rFonts w:ascii="Noor_Titr" w:hAnsi="Noor_Titr" w:cs="B Badr" w:hint="cs"/>
          <w:color w:val="000000" w:themeColor="text1"/>
          <w:rtl/>
        </w:rPr>
        <w:t>ی</w:t>
      </w:r>
      <w:r w:rsidRPr="00316AA8">
        <w:rPr>
          <w:rFonts w:ascii="Noor_Titr" w:hAnsi="Noor_Titr" w:cs="B Badr" w:hint="cs"/>
          <w:color w:val="000000" w:themeColor="text1"/>
          <w:rtl/>
        </w:rPr>
        <w:t xml:space="preserve">عة؛ </w:t>
      </w:r>
      <w:r w:rsidR="00CA1F6F">
        <w:rPr>
          <w:rFonts w:ascii="Noor_Titr" w:hAnsi="Noor_Titr" w:cs="B Badr"/>
          <w:color w:val="000000" w:themeColor="text1"/>
          <w:rtl/>
        </w:rPr>
        <w:t>ج 28</w:t>
      </w:r>
      <w:r w:rsidRPr="00316AA8">
        <w:rPr>
          <w:rFonts w:ascii="Noor_Titr" w:hAnsi="Noor_Titr" w:cs="B Badr" w:hint="cs"/>
          <w:color w:val="000000" w:themeColor="text1"/>
          <w:rtl/>
        </w:rPr>
        <w:t>، ص: 312</w:t>
      </w:r>
    </w:p>
  </w:footnote>
  <w:footnote w:id="6">
    <w:p w:rsidR="009213D9" w:rsidRDefault="009213D9" w:rsidP="009213D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316AA8">
        <w:rPr>
          <w:rFonts w:ascii="Noor_Titr" w:hAnsi="Noor_Titr" w:cs="B Badr" w:hint="cs"/>
          <w:color w:val="000000" w:themeColor="text1"/>
          <w:rtl/>
        </w:rPr>
        <w:t>ال</w:t>
      </w:r>
      <w:r w:rsidR="00CA1F6F">
        <w:rPr>
          <w:rFonts w:ascii="Noor_Titr" w:hAnsi="Noor_Titr" w:cs="B Badr" w:hint="cs"/>
          <w:color w:val="000000" w:themeColor="text1"/>
          <w:rtl/>
        </w:rPr>
        <w:t>ک</w:t>
      </w:r>
      <w:r w:rsidRPr="00316AA8">
        <w:rPr>
          <w:rFonts w:ascii="Noor_Titr" w:hAnsi="Noor_Titr" w:cs="B Badr" w:hint="cs"/>
          <w:color w:val="000000" w:themeColor="text1"/>
          <w:rtl/>
        </w:rPr>
        <w:t>اف</w:t>
      </w:r>
      <w:r w:rsidR="00CA1F6F">
        <w:rPr>
          <w:rFonts w:ascii="Noor_Titr" w:hAnsi="Noor_Titr" w:cs="B Badr" w:hint="cs"/>
          <w:color w:val="000000" w:themeColor="text1"/>
          <w:rtl/>
        </w:rPr>
        <w:t>ی</w:t>
      </w:r>
      <w:r w:rsidRPr="00316AA8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CA1F6F">
        <w:rPr>
          <w:rFonts w:ascii="Noor_Titr" w:hAnsi="Noor_Titr" w:cs="B Badr" w:hint="cs"/>
          <w:color w:val="000000" w:themeColor="text1"/>
          <w:rtl/>
        </w:rPr>
        <w:t>ی</w:t>
      </w:r>
      <w:r w:rsidRPr="00316AA8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CA1F6F">
        <w:rPr>
          <w:rFonts w:ascii="Noor_Titr" w:hAnsi="Noor_Titr" w:cs="B Badr"/>
          <w:color w:val="000000" w:themeColor="text1"/>
          <w:rtl/>
        </w:rPr>
        <w:t>ج 7</w:t>
      </w:r>
      <w:r w:rsidRPr="00316AA8">
        <w:rPr>
          <w:rFonts w:ascii="Noor_Titr" w:hAnsi="Noor_Titr" w:cs="B Badr" w:hint="cs"/>
          <w:color w:val="000000" w:themeColor="text1"/>
          <w:rtl/>
        </w:rPr>
        <w:t>، ص: 248</w:t>
      </w:r>
    </w:p>
  </w:footnote>
  <w:footnote w:id="7">
    <w:p w:rsidR="009213D9" w:rsidRPr="00B20B33" w:rsidRDefault="009213D9" w:rsidP="009213D9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316AA8">
        <w:rPr>
          <w:rFonts w:ascii="Noor_Titr" w:hAnsi="Noor_Titr" w:cs="B Badr" w:hint="cs"/>
          <w:color w:val="000000" w:themeColor="text1"/>
          <w:sz w:val="20"/>
          <w:szCs w:val="20"/>
          <w:rtl/>
        </w:rPr>
        <w:t>وسائل الش</w:t>
      </w:r>
      <w:r w:rsidR="00CA1F6F">
        <w:rPr>
          <w:rFonts w:ascii="Noor_Titr" w:hAnsi="Noor_Titr" w:cs="B Badr" w:hint="cs"/>
          <w:color w:val="000000" w:themeColor="text1"/>
          <w:sz w:val="20"/>
          <w:szCs w:val="20"/>
          <w:rtl/>
        </w:rPr>
        <w:t>ی</w:t>
      </w:r>
      <w:r w:rsidRPr="00316AA8">
        <w:rPr>
          <w:rFonts w:ascii="Noor_Titr" w:hAnsi="Noor_Titr" w:cs="B Badr" w:hint="cs"/>
          <w:color w:val="000000" w:themeColor="text1"/>
          <w:sz w:val="20"/>
          <w:szCs w:val="20"/>
          <w:rtl/>
        </w:rPr>
        <w:t xml:space="preserve">عة؛ </w:t>
      </w:r>
      <w:r w:rsidR="00CA1F6F">
        <w:rPr>
          <w:rFonts w:ascii="Noor_Titr" w:hAnsi="Noor_Titr" w:cs="B Badr"/>
          <w:color w:val="000000" w:themeColor="text1"/>
          <w:sz w:val="20"/>
          <w:szCs w:val="20"/>
          <w:rtl/>
        </w:rPr>
        <w:t>ج 28</w:t>
      </w:r>
      <w:r w:rsidRPr="00316AA8">
        <w:rPr>
          <w:rFonts w:ascii="Noor_Titr" w:hAnsi="Noor_Titr" w:cs="B Badr" w:hint="cs"/>
          <w:color w:val="000000" w:themeColor="text1"/>
          <w:sz w:val="20"/>
          <w:szCs w:val="20"/>
          <w:rtl/>
        </w:rPr>
        <w:t>، ص: 309</w:t>
      </w:r>
    </w:p>
    <w:p w:rsidR="009213D9" w:rsidRDefault="009213D9" w:rsidP="009213D9">
      <w:pPr>
        <w:pStyle w:val="FootnoteText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CA1F6F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C82C74C" wp14:editId="102465A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7C27BD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8" w:name="OLE_LINK1"/>
    <w:bookmarkStart w:id="19" w:name="OLE_LINK2"/>
    <w:r>
      <w:rPr>
        <w:noProof/>
        <w:lang w:bidi="fa-IR"/>
      </w:rPr>
      <w:drawing>
        <wp:inline distT="0" distB="0" distL="0" distR="0" wp14:anchorId="5F5DB174" wp14:editId="286DA8E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CA1F6F">
      <w:rPr>
        <w:rFonts w:ascii="IranNastaliq" w:hAnsi="IranNastaliq" w:cs="IranNastaliq" w:hint="cs"/>
        <w:sz w:val="40"/>
        <w:szCs w:val="40"/>
        <w:rtl/>
        <w:lang w:bidi="fa-IR"/>
      </w:rPr>
      <w:t>921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373F"/>
    <w:rsid w:val="003D563F"/>
    <w:rsid w:val="003E1E58"/>
    <w:rsid w:val="003F1AED"/>
    <w:rsid w:val="0040094C"/>
    <w:rsid w:val="00405199"/>
    <w:rsid w:val="00410699"/>
    <w:rsid w:val="00415360"/>
    <w:rsid w:val="0044591E"/>
    <w:rsid w:val="004651D2"/>
    <w:rsid w:val="00465D26"/>
    <w:rsid w:val="004679F8"/>
    <w:rsid w:val="0047273C"/>
    <w:rsid w:val="00494DC0"/>
    <w:rsid w:val="00496073"/>
    <w:rsid w:val="004B337F"/>
    <w:rsid w:val="004F3596"/>
    <w:rsid w:val="004F56BA"/>
    <w:rsid w:val="00560405"/>
    <w:rsid w:val="00572E2D"/>
    <w:rsid w:val="00592103"/>
    <w:rsid w:val="005941DD"/>
    <w:rsid w:val="005A23DF"/>
    <w:rsid w:val="005A545E"/>
    <w:rsid w:val="005A5862"/>
    <w:rsid w:val="005B0852"/>
    <w:rsid w:val="005C06AE"/>
    <w:rsid w:val="005C0D0A"/>
    <w:rsid w:val="00610C18"/>
    <w:rsid w:val="00612385"/>
    <w:rsid w:val="0061376C"/>
    <w:rsid w:val="00636EFA"/>
    <w:rsid w:val="00652B2E"/>
    <w:rsid w:val="0066229C"/>
    <w:rsid w:val="00675B32"/>
    <w:rsid w:val="0069696C"/>
    <w:rsid w:val="006A085A"/>
    <w:rsid w:val="006A2CFF"/>
    <w:rsid w:val="006D3A87"/>
    <w:rsid w:val="006E100D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6FEB"/>
    <w:rsid w:val="007C1EF7"/>
    <w:rsid w:val="007C710E"/>
    <w:rsid w:val="007D0B88"/>
    <w:rsid w:val="007D1549"/>
    <w:rsid w:val="007D4176"/>
    <w:rsid w:val="007E03E9"/>
    <w:rsid w:val="007E04EE"/>
    <w:rsid w:val="007E7FA7"/>
    <w:rsid w:val="007F0721"/>
    <w:rsid w:val="007F3121"/>
    <w:rsid w:val="007F4A90"/>
    <w:rsid w:val="00803501"/>
    <w:rsid w:val="0080799B"/>
    <w:rsid w:val="00807BE3"/>
    <w:rsid w:val="00811F02"/>
    <w:rsid w:val="008407A4"/>
    <w:rsid w:val="00844860"/>
    <w:rsid w:val="00845CC4"/>
    <w:rsid w:val="00856562"/>
    <w:rsid w:val="00857C21"/>
    <w:rsid w:val="008644F4"/>
    <w:rsid w:val="00883733"/>
    <w:rsid w:val="008965D2"/>
    <w:rsid w:val="008A236D"/>
    <w:rsid w:val="008A755F"/>
    <w:rsid w:val="008B565A"/>
    <w:rsid w:val="008C3414"/>
    <w:rsid w:val="008D36D5"/>
    <w:rsid w:val="008E3903"/>
    <w:rsid w:val="008F197C"/>
    <w:rsid w:val="008F63E3"/>
    <w:rsid w:val="00913C3B"/>
    <w:rsid w:val="00915509"/>
    <w:rsid w:val="009213D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9F7E77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400DD"/>
    <w:rsid w:val="00C60D75"/>
    <w:rsid w:val="00C64CEA"/>
    <w:rsid w:val="00C73012"/>
    <w:rsid w:val="00C763DD"/>
    <w:rsid w:val="00C84FC0"/>
    <w:rsid w:val="00C9244A"/>
    <w:rsid w:val="00CA1F6F"/>
    <w:rsid w:val="00CB5DA3"/>
    <w:rsid w:val="00CD7FC4"/>
    <w:rsid w:val="00CE31E6"/>
    <w:rsid w:val="00CE3B74"/>
    <w:rsid w:val="00CF42E2"/>
    <w:rsid w:val="00CF7916"/>
    <w:rsid w:val="00D158F3"/>
    <w:rsid w:val="00D3665C"/>
    <w:rsid w:val="00D438E4"/>
    <w:rsid w:val="00D508CC"/>
    <w:rsid w:val="00D50F4B"/>
    <w:rsid w:val="00D60547"/>
    <w:rsid w:val="00D63EFE"/>
    <w:rsid w:val="00D66444"/>
    <w:rsid w:val="00D76353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E0639C"/>
    <w:rsid w:val="00E067E6"/>
    <w:rsid w:val="00E12531"/>
    <w:rsid w:val="00E143B0"/>
    <w:rsid w:val="00E55891"/>
    <w:rsid w:val="00E6283A"/>
    <w:rsid w:val="00E732A3"/>
    <w:rsid w:val="00E761C2"/>
    <w:rsid w:val="00E83A85"/>
    <w:rsid w:val="00E90FC4"/>
    <w:rsid w:val="00EA01EC"/>
    <w:rsid w:val="00EA15B0"/>
    <w:rsid w:val="00EA5D97"/>
    <w:rsid w:val="00EB0902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6AEB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2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2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36AC-3046-49A6-A6EC-199B6A66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90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31</cp:revision>
  <dcterms:created xsi:type="dcterms:W3CDTF">2014-12-20T10:23:00Z</dcterms:created>
  <dcterms:modified xsi:type="dcterms:W3CDTF">2015-08-19T09:37:00Z</dcterms:modified>
</cp:coreProperties>
</file>