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E8" w:rsidRPr="006E5956" w:rsidRDefault="0047581D" w:rsidP="00E124E8">
      <w:pPr>
        <w:bidi/>
        <w:jc w:val="both"/>
        <w:rPr>
          <w:rFonts w:ascii="IRBadr" w:hAnsi="IRBadr" w:cs="IRBadr"/>
          <w:sz w:val="28"/>
          <w:szCs w:val="28"/>
          <w:rtl/>
          <w:lang w:bidi="fa-IR"/>
        </w:rPr>
      </w:pPr>
      <w:r w:rsidRPr="006E5956">
        <w:rPr>
          <w:rFonts w:ascii="IRBadr" w:hAnsi="IRBadr" w:cs="IRBadr"/>
          <w:sz w:val="28"/>
          <w:szCs w:val="28"/>
          <w:rtl/>
          <w:lang w:bidi="fa-IR"/>
        </w:rPr>
        <w:t>بسم‌الله</w:t>
      </w:r>
      <w:r w:rsidR="00E124E8" w:rsidRPr="006E5956">
        <w:rPr>
          <w:rFonts w:ascii="IRBadr" w:hAnsi="IRBadr" w:cs="IRBadr"/>
          <w:sz w:val="28"/>
          <w:szCs w:val="28"/>
          <w:rtl/>
          <w:lang w:bidi="fa-IR"/>
        </w:rPr>
        <w:t xml:space="preserve"> الرحمن الرحیم</w:t>
      </w:r>
    </w:p>
    <w:p w:rsidR="00560EB8" w:rsidRPr="006E5956" w:rsidRDefault="00560EB8" w:rsidP="00560EB8">
      <w:pPr>
        <w:bidi/>
        <w:jc w:val="both"/>
        <w:rPr>
          <w:rFonts w:ascii="IRBadr" w:hAnsi="IRBadr" w:cs="IRBadr"/>
          <w:sz w:val="28"/>
          <w:szCs w:val="28"/>
          <w:rtl/>
          <w:lang w:bidi="fa-IR"/>
        </w:rPr>
      </w:pPr>
      <w:r w:rsidRPr="006E5956">
        <w:rPr>
          <w:rFonts w:ascii="IRBadr" w:hAnsi="IRBadr" w:cs="IRBadr"/>
          <w:sz w:val="28"/>
          <w:szCs w:val="28"/>
          <w:rtl/>
          <w:lang w:bidi="fa-IR"/>
        </w:rPr>
        <w:t>فهرست مطالب:</w:t>
      </w:r>
    </w:p>
    <w:p w:rsidR="00560EB8" w:rsidRPr="006E5956" w:rsidRDefault="00560EB8" w:rsidP="00560EB8">
      <w:pPr>
        <w:pStyle w:val="TOC1"/>
        <w:tabs>
          <w:tab w:val="right" w:leader="dot" w:pos="9350"/>
        </w:tabs>
        <w:rPr>
          <w:rFonts w:ascii="IRBadr" w:hAnsi="IRBadr" w:cs="IRBadr"/>
          <w:noProof/>
          <w:szCs w:val="22"/>
        </w:rPr>
      </w:pPr>
      <w:r w:rsidRPr="006E5956">
        <w:rPr>
          <w:rFonts w:ascii="IRBadr" w:hAnsi="IRBadr" w:cs="IRBadr"/>
          <w:sz w:val="28"/>
          <w:rtl/>
        </w:rPr>
        <w:fldChar w:fldCharType="begin"/>
      </w:r>
      <w:r w:rsidRPr="006E5956">
        <w:rPr>
          <w:rFonts w:ascii="IRBadr" w:hAnsi="IRBadr" w:cs="IRBadr"/>
          <w:sz w:val="28"/>
          <w:rtl/>
        </w:rPr>
        <w:instrText xml:space="preserve"> </w:instrText>
      </w:r>
      <w:r w:rsidRPr="006E5956">
        <w:rPr>
          <w:rFonts w:ascii="IRBadr" w:hAnsi="IRBadr" w:cs="IRBadr"/>
          <w:sz w:val="28"/>
        </w:rPr>
        <w:instrText>TOC</w:instrText>
      </w:r>
      <w:r w:rsidRPr="006E5956">
        <w:rPr>
          <w:rFonts w:ascii="IRBadr" w:hAnsi="IRBadr" w:cs="IRBadr"/>
          <w:sz w:val="28"/>
          <w:rtl/>
        </w:rPr>
        <w:instrText xml:space="preserve"> \</w:instrText>
      </w:r>
      <w:r w:rsidRPr="006E5956">
        <w:rPr>
          <w:rFonts w:ascii="IRBadr" w:hAnsi="IRBadr" w:cs="IRBadr"/>
          <w:sz w:val="28"/>
        </w:rPr>
        <w:instrText>o "</w:instrText>
      </w:r>
      <w:r w:rsidRPr="006E5956">
        <w:rPr>
          <w:rFonts w:ascii="IRBadr" w:hAnsi="IRBadr" w:cs="IRBadr"/>
          <w:sz w:val="28"/>
          <w:rtl/>
        </w:rPr>
        <w:instrText>1-4</w:instrText>
      </w:r>
      <w:r w:rsidRPr="006E5956">
        <w:rPr>
          <w:rFonts w:ascii="IRBadr" w:hAnsi="IRBadr" w:cs="IRBadr"/>
          <w:sz w:val="28"/>
        </w:rPr>
        <w:instrText>" \h \z \u</w:instrText>
      </w:r>
      <w:r w:rsidRPr="006E5956">
        <w:rPr>
          <w:rFonts w:ascii="IRBadr" w:hAnsi="IRBadr" w:cs="IRBadr"/>
          <w:sz w:val="28"/>
          <w:rtl/>
        </w:rPr>
        <w:instrText xml:space="preserve"> </w:instrText>
      </w:r>
      <w:r w:rsidRPr="006E5956">
        <w:rPr>
          <w:rFonts w:ascii="IRBadr" w:hAnsi="IRBadr" w:cs="IRBadr"/>
          <w:sz w:val="28"/>
          <w:rtl/>
        </w:rPr>
        <w:fldChar w:fldCharType="separate"/>
      </w:r>
      <w:hyperlink w:anchor="_Toc427751788" w:history="1">
        <w:r w:rsidRPr="006E5956">
          <w:rPr>
            <w:rStyle w:val="Hyperlink"/>
            <w:rFonts w:ascii="IRBadr" w:hAnsi="IRBadr" w:cs="IRBadr"/>
            <w:noProof/>
            <w:rtl/>
          </w:rPr>
          <w:t>حد محارب</w:t>
        </w:r>
        <w:r w:rsidRPr="006E5956">
          <w:rPr>
            <w:rFonts w:ascii="IRBadr" w:hAnsi="IRBadr" w:cs="IRBadr"/>
            <w:noProof/>
            <w:webHidden/>
          </w:rPr>
          <w:tab/>
        </w:r>
        <w:r w:rsidRPr="006E5956">
          <w:rPr>
            <w:rStyle w:val="Hyperlink"/>
            <w:rFonts w:ascii="IRBadr" w:hAnsi="IRBadr" w:cs="IRBadr"/>
            <w:noProof/>
            <w:rtl/>
          </w:rPr>
          <w:fldChar w:fldCharType="begin"/>
        </w:r>
        <w:r w:rsidRPr="006E5956">
          <w:rPr>
            <w:rFonts w:ascii="IRBadr" w:hAnsi="IRBadr" w:cs="IRBadr"/>
            <w:noProof/>
            <w:webHidden/>
          </w:rPr>
          <w:instrText xml:space="preserve"> PAGEREF _Toc427751788 \h </w:instrText>
        </w:r>
        <w:r w:rsidRPr="006E5956">
          <w:rPr>
            <w:rStyle w:val="Hyperlink"/>
            <w:rFonts w:ascii="IRBadr" w:hAnsi="IRBadr" w:cs="IRBadr"/>
            <w:noProof/>
            <w:rtl/>
          </w:rPr>
        </w:r>
        <w:r w:rsidRPr="006E5956">
          <w:rPr>
            <w:rStyle w:val="Hyperlink"/>
            <w:rFonts w:ascii="IRBadr" w:hAnsi="IRBadr" w:cs="IRBadr"/>
            <w:noProof/>
            <w:rtl/>
          </w:rPr>
          <w:fldChar w:fldCharType="separate"/>
        </w:r>
        <w:r w:rsidRPr="006E5956">
          <w:rPr>
            <w:rFonts w:ascii="IRBadr" w:hAnsi="IRBadr" w:cs="IRBadr"/>
            <w:noProof/>
            <w:webHidden/>
          </w:rPr>
          <w:t>1</w:t>
        </w:r>
        <w:r w:rsidRPr="006E5956">
          <w:rPr>
            <w:rStyle w:val="Hyperlink"/>
            <w:rFonts w:ascii="IRBadr" w:hAnsi="IRBadr" w:cs="IRBadr"/>
            <w:noProof/>
            <w:rtl/>
          </w:rPr>
          <w:fldChar w:fldCharType="end"/>
        </w:r>
      </w:hyperlink>
    </w:p>
    <w:p w:rsidR="00560EB8" w:rsidRPr="006E5956" w:rsidRDefault="00012FFB" w:rsidP="00560EB8">
      <w:pPr>
        <w:pStyle w:val="TOC1"/>
        <w:tabs>
          <w:tab w:val="right" w:leader="dot" w:pos="9350"/>
        </w:tabs>
        <w:rPr>
          <w:rFonts w:ascii="IRBadr" w:hAnsi="IRBadr" w:cs="IRBadr"/>
          <w:noProof/>
          <w:szCs w:val="22"/>
        </w:rPr>
      </w:pPr>
      <w:hyperlink w:anchor="_Toc427751789" w:history="1">
        <w:r w:rsidR="00560EB8" w:rsidRPr="006E5956">
          <w:rPr>
            <w:rStyle w:val="Hyperlink"/>
            <w:rFonts w:ascii="IRBadr" w:hAnsi="IRBadr" w:cs="IRBadr"/>
            <w:noProof/>
            <w:rtl/>
          </w:rPr>
          <w:t>توبه محارب</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_Toc427751789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1</w:t>
        </w:r>
        <w:r w:rsidR="00560EB8" w:rsidRPr="006E5956">
          <w:rPr>
            <w:rStyle w:val="Hyperlink"/>
            <w:rFonts w:ascii="IRBadr" w:hAnsi="IRBadr" w:cs="IRBadr"/>
            <w:noProof/>
            <w:rtl/>
          </w:rPr>
          <w:fldChar w:fldCharType="end"/>
        </w:r>
      </w:hyperlink>
    </w:p>
    <w:p w:rsidR="00560EB8" w:rsidRPr="006E5956" w:rsidRDefault="00012FFB" w:rsidP="00560EB8">
      <w:pPr>
        <w:pStyle w:val="TOC1"/>
        <w:tabs>
          <w:tab w:val="right" w:leader="dot" w:pos="9350"/>
        </w:tabs>
        <w:rPr>
          <w:rFonts w:ascii="IRBadr" w:hAnsi="IRBadr" w:cs="IRBadr"/>
          <w:noProof/>
          <w:szCs w:val="22"/>
        </w:rPr>
      </w:pPr>
      <w:hyperlink w:anchor="_Toc427751790" w:history="1">
        <w:r w:rsidR="00560EB8" w:rsidRPr="006E5956">
          <w:rPr>
            <w:rStyle w:val="Hyperlink"/>
            <w:rFonts w:ascii="IRBadr" w:hAnsi="IRBadr" w:cs="IRBadr"/>
            <w:noProof/>
            <w:rtl/>
          </w:rPr>
          <w:t>بررسی آیه شریفه</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_Toc427751790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2</w:t>
        </w:r>
        <w:r w:rsidR="00560EB8" w:rsidRPr="006E5956">
          <w:rPr>
            <w:rStyle w:val="Hyperlink"/>
            <w:rFonts w:ascii="IRBadr" w:hAnsi="IRBadr" w:cs="IRBadr"/>
            <w:noProof/>
            <w:rtl/>
          </w:rPr>
          <w:fldChar w:fldCharType="end"/>
        </w:r>
      </w:hyperlink>
    </w:p>
    <w:p w:rsidR="00560EB8" w:rsidRPr="006E5956" w:rsidRDefault="00012FFB" w:rsidP="00560EB8">
      <w:pPr>
        <w:pStyle w:val="TOC2"/>
        <w:tabs>
          <w:tab w:val="right" w:leader="dot" w:pos="9350"/>
        </w:tabs>
        <w:rPr>
          <w:rFonts w:ascii="IRBadr" w:hAnsi="IRBadr" w:cs="IRBadr"/>
          <w:noProof/>
          <w:szCs w:val="22"/>
        </w:rPr>
      </w:pPr>
      <w:hyperlink w:anchor="_Toc427751791" w:history="1">
        <w:r w:rsidR="00560EB8" w:rsidRPr="006E5956">
          <w:rPr>
            <w:rStyle w:val="Hyperlink"/>
            <w:rFonts w:ascii="IRBadr" w:hAnsi="IRBadr" w:cs="IRBadr"/>
            <w:noProof/>
            <w:rtl/>
          </w:rPr>
          <w:t>عمل اتحادی و انضمامی</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_Toc427751791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2</w:t>
        </w:r>
        <w:r w:rsidR="00560EB8" w:rsidRPr="006E5956">
          <w:rPr>
            <w:rStyle w:val="Hyperlink"/>
            <w:rFonts w:ascii="IRBadr" w:hAnsi="IRBadr" w:cs="IRBadr"/>
            <w:noProof/>
            <w:rtl/>
          </w:rPr>
          <w:fldChar w:fldCharType="end"/>
        </w:r>
      </w:hyperlink>
    </w:p>
    <w:p w:rsidR="00560EB8" w:rsidRPr="006E5956" w:rsidRDefault="00012FFB" w:rsidP="00560EB8">
      <w:pPr>
        <w:pStyle w:val="TOC3"/>
        <w:tabs>
          <w:tab w:val="right" w:leader="dot" w:pos="9350"/>
        </w:tabs>
        <w:rPr>
          <w:rFonts w:ascii="IRBadr" w:eastAsiaTheme="minorEastAsia" w:hAnsi="IRBadr" w:cs="IRBadr"/>
          <w:noProof/>
          <w:szCs w:val="22"/>
        </w:rPr>
      </w:pPr>
      <w:hyperlink w:anchor="_Toc427751792" w:history="1">
        <w:r w:rsidR="00560EB8" w:rsidRPr="006E5956">
          <w:rPr>
            <w:rStyle w:val="Hyperlink"/>
            <w:rFonts w:ascii="IRBadr" w:hAnsi="IRBadr" w:cs="IRBadr"/>
            <w:noProof/>
            <w:rtl/>
          </w:rPr>
          <w:t xml:space="preserve">قاعده </w:t>
        </w:r>
        <w:r w:rsidR="006E5956">
          <w:rPr>
            <w:rStyle w:val="Hyperlink"/>
            <w:rFonts w:ascii="IRBadr" w:hAnsi="IRBadr" w:cs="IRBadr"/>
            <w:noProof/>
            <w:rtl/>
          </w:rPr>
          <w:t>استیفا</w:t>
        </w:r>
        <w:r w:rsidR="00560EB8" w:rsidRPr="006E5956">
          <w:rPr>
            <w:rStyle w:val="Hyperlink"/>
            <w:rFonts w:ascii="IRBadr" w:hAnsi="IRBadr" w:cs="IRBadr"/>
            <w:noProof/>
            <w:rtl/>
          </w:rPr>
          <w:t xml:space="preserve"> در مقام تعدد حدود</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_Toc427751792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2</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3" w:history="1">
        <w:r w:rsidR="00560EB8" w:rsidRPr="006E5956">
          <w:rPr>
            <w:rStyle w:val="Hyperlink"/>
            <w:rFonts w:ascii="IRBadr" w:hAnsi="IRBadr" w:cs="IRBadr"/>
            <w:noProof/>
            <w:rtl/>
          </w:rPr>
          <w:t>مسقطیت توبه در این مقام</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_Toc427751793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3</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4" w:history="1">
        <w:r w:rsidR="00560EB8" w:rsidRPr="006E5956">
          <w:rPr>
            <w:rStyle w:val="Hyperlink"/>
            <w:rFonts w:ascii="IRBadr" w:hAnsi="IRBadr" w:cs="IRBadr"/>
            <w:noProof/>
            <w:rtl/>
          </w:rPr>
          <w:t>تصلیب محارب</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_Toc427751794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3</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5" w:history="1">
        <w:r w:rsidR="00560EB8" w:rsidRPr="006E5956">
          <w:rPr>
            <w:rStyle w:val="Hyperlink"/>
            <w:rFonts w:ascii="IRBadr" w:hAnsi="IRBadr" w:cs="IRBadr"/>
            <w:noProof/>
            <w:rtl/>
          </w:rPr>
          <w:t>مستندات بحث</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_Toc427751795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3</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6" w:history="1">
        <w:r w:rsidR="00560EB8" w:rsidRPr="006E5956">
          <w:rPr>
            <w:rStyle w:val="Hyperlink"/>
            <w:rFonts w:ascii="IRBadr" w:hAnsi="IRBadr" w:cs="IRBadr"/>
            <w:noProof/>
            <w:rtl/>
          </w:rPr>
          <w:t>روایت اول</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_Toc427751796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3</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7" w:history="1">
        <w:r w:rsidR="00560EB8" w:rsidRPr="006E5956">
          <w:rPr>
            <w:rStyle w:val="Hyperlink"/>
            <w:rFonts w:ascii="IRBadr" w:hAnsi="IRBadr" w:cs="IRBadr"/>
            <w:noProof/>
            <w:rtl/>
          </w:rPr>
          <w:t>روایت دوم</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_Toc427751797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4</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8" w:history="1">
        <w:r w:rsidR="00560EB8" w:rsidRPr="006E5956">
          <w:rPr>
            <w:rStyle w:val="Hyperlink"/>
            <w:rFonts w:ascii="IRBadr" w:hAnsi="IRBadr" w:cs="IRBadr"/>
            <w:noProof/>
            <w:rtl/>
          </w:rPr>
          <w:t>روایت سوم</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_Toc427751798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4</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799" w:history="1">
        <w:r w:rsidR="00560EB8" w:rsidRPr="006E5956">
          <w:rPr>
            <w:rStyle w:val="Hyperlink"/>
            <w:rFonts w:ascii="IRBadr" w:hAnsi="IRBadr" w:cs="IRBadr"/>
            <w:noProof/>
            <w:rtl/>
          </w:rPr>
          <w:t>مقصود از صلب</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_Toc427751799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4</w:t>
        </w:r>
        <w:r w:rsidR="00560EB8" w:rsidRPr="006E5956">
          <w:rPr>
            <w:rStyle w:val="Hyperlink"/>
            <w:rFonts w:ascii="IRBadr" w:hAnsi="IRBadr" w:cs="IRBadr"/>
            <w:noProof/>
            <w:rtl/>
          </w:rPr>
          <w:fldChar w:fldCharType="end"/>
        </w:r>
      </w:hyperlink>
    </w:p>
    <w:p w:rsidR="00560EB8" w:rsidRPr="006E5956" w:rsidRDefault="00012FFB" w:rsidP="00560EB8">
      <w:pPr>
        <w:pStyle w:val="TOC4"/>
        <w:tabs>
          <w:tab w:val="right" w:leader="dot" w:pos="9350"/>
        </w:tabs>
        <w:rPr>
          <w:rFonts w:ascii="IRBadr" w:eastAsiaTheme="minorEastAsia" w:hAnsi="IRBadr" w:cs="IRBadr"/>
          <w:noProof/>
          <w:szCs w:val="22"/>
        </w:rPr>
      </w:pPr>
      <w:hyperlink w:anchor="_Toc427751800" w:history="1">
        <w:r w:rsidR="00560EB8" w:rsidRPr="006E5956">
          <w:rPr>
            <w:rStyle w:val="Hyperlink"/>
            <w:rFonts w:ascii="IRBadr" w:hAnsi="IRBadr" w:cs="IRBadr"/>
            <w:noProof/>
            <w:rtl/>
          </w:rPr>
          <w:t xml:space="preserve">صلب </w:t>
        </w:r>
        <w:r w:rsidR="006E5956">
          <w:rPr>
            <w:rStyle w:val="Hyperlink"/>
            <w:rFonts w:ascii="IRBadr" w:hAnsi="IRBadr" w:cs="IRBadr"/>
            <w:noProof/>
            <w:rtl/>
          </w:rPr>
          <w:t>بنا بر</w:t>
        </w:r>
        <w:r w:rsidR="00560EB8" w:rsidRPr="006E5956">
          <w:rPr>
            <w:rStyle w:val="Hyperlink"/>
            <w:rFonts w:ascii="IRBadr" w:hAnsi="IRBadr" w:cs="IRBadr"/>
            <w:noProof/>
            <w:rtl/>
          </w:rPr>
          <w:t xml:space="preserve"> مبنای تخییر</w:t>
        </w:r>
        <w:r w:rsidR="00560EB8" w:rsidRPr="006E5956">
          <w:rPr>
            <w:rFonts w:ascii="IRBadr" w:hAnsi="IRBadr" w:cs="IRBadr"/>
            <w:noProof/>
            <w:webHidden/>
          </w:rPr>
          <w:tab/>
        </w:r>
        <w:r w:rsidR="00560EB8" w:rsidRPr="006E5956">
          <w:rPr>
            <w:rStyle w:val="Hyperlink"/>
            <w:rFonts w:ascii="IRBadr" w:hAnsi="IRBadr" w:cs="IRBadr"/>
            <w:noProof/>
            <w:rtl/>
          </w:rPr>
          <w:fldChar w:fldCharType="begin"/>
        </w:r>
        <w:r w:rsidR="00560EB8" w:rsidRPr="006E5956">
          <w:rPr>
            <w:rFonts w:ascii="IRBadr" w:hAnsi="IRBadr" w:cs="IRBadr"/>
            <w:noProof/>
            <w:webHidden/>
          </w:rPr>
          <w:instrText xml:space="preserve"> PAGEREF _Toc427751800 \h </w:instrText>
        </w:r>
        <w:r w:rsidR="00560EB8" w:rsidRPr="006E5956">
          <w:rPr>
            <w:rStyle w:val="Hyperlink"/>
            <w:rFonts w:ascii="IRBadr" w:hAnsi="IRBadr" w:cs="IRBadr"/>
            <w:noProof/>
            <w:rtl/>
          </w:rPr>
        </w:r>
        <w:r w:rsidR="00560EB8" w:rsidRPr="006E5956">
          <w:rPr>
            <w:rStyle w:val="Hyperlink"/>
            <w:rFonts w:ascii="IRBadr" w:hAnsi="IRBadr" w:cs="IRBadr"/>
            <w:noProof/>
            <w:rtl/>
          </w:rPr>
          <w:fldChar w:fldCharType="separate"/>
        </w:r>
        <w:r w:rsidR="00560EB8" w:rsidRPr="006E5956">
          <w:rPr>
            <w:rFonts w:ascii="IRBadr" w:hAnsi="IRBadr" w:cs="IRBadr"/>
            <w:noProof/>
            <w:webHidden/>
          </w:rPr>
          <w:t>4</w:t>
        </w:r>
        <w:r w:rsidR="00560EB8" w:rsidRPr="006E5956">
          <w:rPr>
            <w:rStyle w:val="Hyperlink"/>
            <w:rFonts w:ascii="IRBadr" w:hAnsi="IRBadr" w:cs="IRBadr"/>
            <w:noProof/>
            <w:rtl/>
          </w:rPr>
          <w:fldChar w:fldCharType="end"/>
        </w:r>
      </w:hyperlink>
    </w:p>
    <w:p w:rsidR="00560EB8" w:rsidRPr="006E5956" w:rsidRDefault="00560EB8" w:rsidP="00560EB8">
      <w:pPr>
        <w:bidi/>
        <w:jc w:val="both"/>
        <w:rPr>
          <w:rFonts w:ascii="IRBadr" w:hAnsi="IRBadr" w:cs="IRBadr"/>
          <w:sz w:val="28"/>
          <w:szCs w:val="28"/>
          <w:rtl/>
          <w:lang w:bidi="fa-IR"/>
        </w:rPr>
      </w:pPr>
      <w:r w:rsidRPr="006E5956">
        <w:rPr>
          <w:rFonts w:ascii="IRBadr" w:hAnsi="IRBadr" w:cs="IRBadr"/>
          <w:sz w:val="28"/>
          <w:szCs w:val="28"/>
          <w:rtl/>
          <w:lang w:bidi="fa-IR"/>
        </w:rPr>
        <w:fldChar w:fldCharType="end"/>
      </w:r>
    </w:p>
    <w:p w:rsidR="006E5956" w:rsidRPr="006E5956" w:rsidRDefault="006E5956">
      <w:pPr>
        <w:spacing w:after="0" w:line="240" w:lineRule="auto"/>
        <w:rPr>
          <w:rFonts w:ascii="IRBadr" w:eastAsia="2  Lotus" w:hAnsi="IRBadr" w:cs="IRBadr"/>
          <w:bCs/>
          <w:sz w:val="28"/>
          <w:szCs w:val="44"/>
          <w:rtl/>
          <w:lang w:bidi="fa-IR"/>
        </w:rPr>
      </w:pPr>
      <w:bookmarkStart w:id="0" w:name="_Toc427751788"/>
      <w:r w:rsidRPr="006E5956">
        <w:rPr>
          <w:rFonts w:ascii="IRBadr" w:hAnsi="IRBadr" w:cs="IRBadr"/>
          <w:rtl/>
        </w:rPr>
        <w:br w:type="page"/>
      </w:r>
    </w:p>
    <w:p w:rsidR="00E124E8" w:rsidRPr="006E5956" w:rsidRDefault="00E124E8" w:rsidP="00E124E8">
      <w:pPr>
        <w:pStyle w:val="Heading1"/>
        <w:rPr>
          <w:rFonts w:ascii="IRBadr" w:hAnsi="IRBadr" w:cs="IRBadr"/>
          <w:rtl/>
        </w:rPr>
      </w:pPr>
      <w:r w:rsidRPr="006E5956">
        <w:rPr>
          <w:rFonts w:ascii="IRBadr" w:hAnsi="IRBadr" w:cs="IRBadr"/>
          <w:rtl/>
        </w:rPr>
        <w:lastRenderedPageBreak/>
        <w:t>حد محارب</w:t>
      </w:r>
      <w:bookmarkEnd w:id="0"/>
    </w:p>
    <w:p w:rsidR="00E124E8" w:rsidRPr="006E5956" w:rsidRDefault="00E124E8" w:rsidP="00E124E8">
      <w:pPr>
        <w:pStyle w:val="Heading1"/>
        <w:rPr>
          <w:rFonts w:ascii="IRBadr" w:hAnsi="IRBadr" w:cs="IRBadr"/>
          <w:rtl/>
        </w:rPr>
      </w:pPr>
      <w:bookmarkStart w:id="1" w:name="_Toc427751789"/>
      <w:r w:rsidRPr="006E5956">
        <w:rPr>
          <w:rFonts w:ascii="IRBadr" w:hAnsi="IRBadr" w:cs="IRBadr"/>
          <w:rtl/>
        </w:rPr>
        <w:t>توبه محارب</w:t>
      </w:r>
      <w:bookmarkEnd w:id="1"/>
    </w:p>
    <w:p w:rsidR="00E124E8" w:rsidRPr="006E5956" w:rsidRDefault="0047581D" w:rsidP="00E124E8">
      <w:pPr>
        <w:bidi/>
        <w:jc w:val="both"/>
        <w:rPr>
          <w:rFonts w:ascii="IRBadr" w:hAnsi="IRBadr" w:cs="IRBadr"/>
          <w:sz w:val="28"/>
          <w:szCs w:val="28"/>
          <w:rtl/>
          <w:lang w:bidi="fa-IR"/>
        </w:rPr>
      </w:pPr>
      <w:r w:rsidRPr="006E5956">
        <w:rPr>
          <w:rFonts w:ascii="IRBadr" w:hAnsi="IRBadr" w:cs="IRBadr"/>
          <w:sz w:val="28"/>
          <w:szCs w:val="28"/>
          <w:rtl/>
          <w:lang w:bidi="fa-IR"/>
        </w:rPr>
        <w:t>مسئله</w:t>
      </w:r>
      <w:r w:rsidR="00E124E8" w:rsidRPr="006E5956">
        <w:rPr>
          <w:rFonts w:ascii="IRBadr" w:hAnsi="IRBadr" w:cs="IRBadr"/>
          <w:sz w:val="28"/>
          <w:szCs w:val="28"/>
          <w:rtl/>
          <w:lang w:bidi="fa-IR"/>
        </w:rPr>
        <w:t xml:space="preserve"> هفتم مربوط به این است که؛</w:t>
      </w:r>
    </w:p>
    <w:p w:rsidR="00E124E8" w:rsidRPr="006E5956" w:rsidRDefault="00E124E8" w:rsidP="00E124E8">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E5956">
        <w:rPr>
          <w:rFonts w:ascii="IRBadr" w:eastAsia="Times New Roman" w:hAnsi="IRBadr" w:cs="IRBadr"/>
          <w:b/>
          <w:bCs/>
          <w:color w:val="000000" w:themeColor="text1"/>
          <w:sz w:val="28"/>
          <w:szCs w:val="28"/>
          <w:rtl/>
          <w:lang w:bidi="fa-IR"/>
        </w:rPr>
        <w:t>«</w:t>
      </w:r>
      <w:r w:rsidR="0047581D" w:rsidRPr="006E5956">
        <w:rPr>
          <w:rFonts w:ascii="IRBadr" w:eastAsia="Times New Roman" w:hAnsi="IRBadr" w:cs="IRBadr"/>
          <w:b/>
          <w:bCs/>
          <w:color w:val="000000" w:themeColor="text1"/>
          <w:sz w:val="28"/>
          <w:szCs w:val="28"/>
          <w:rtl/>
          <w:lang w:bidi="fa-IR"/>
        </w:rPr>
        <w:t>مسألة</w:t>
      </w:r>
      <w:r w:rsidRPr="006E5956">
        <w:rPr>
          <w:rFonts w:ascii="IRBadr" w:eastAsia="Times New Roman" w:hAnsi="IRBadr" w:cs="IRBadr"/>
          <w:b/>
          <w:bCs/>
          <w:color w:val="000000" w:themeColor="text1"/>
          <w:sz w:val="28"/>
          <w:szCs w:val="28"/>
          <w:rtl/>
          <w:lang w:bidi="fa-IR"/>
        </w:rPr>
        <w:t xml:space="preserve"> 7: لو تاب المحارب قبل القدرة عل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ه سقط الحدّ دون حقوق الناس من القتل و الجرح و المال، و لو تاب بعد الظفر عل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ه لم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سقط الحدّ أ</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ضاً</w:t>
      </w:r>
      <w:r w:rsidR="004E24CC" w:rsidRPr="006E5956">
        <w:rPr>
          <w:rFonts w:ascii="IRBadr" w:eastAsia="Times New Roman" w:hAnsi="IRBadr" w:cs="IRBadr"/>
          <w:b/>
          <w:bCs/>
          <w:color w:val="000000" w:themeColor="text1"/>
          <w:sz w:val="28"/>
          <w:szCs w:val="28"/>
          <w:rtl/>
          <w:lang w:bidi="fa-IR"/>
        </w:rPr>
        <w:t>»</w:t>
      </w:r>
      <w:r w:rsidRPr="006E5956">
        <w:rPr>
          <w:rFonts w:ascii="IRBadr" w:eastAsia="Times New Roman" w:hAnsi="IRBadr" w:cs="IRBadr"/>
          <w:b/>
          <w:bCs/>
          <w:color w:val="000000" w:themeColor="text1"/>
          <w:sz w:val="28"/>
          <w:szCs w:val="28"/>
          <w:vertAlign w:val="superscript"/>
          <w:rtl/>
          <w:lang w:bidi="fa-IR"/>
        </w:rPr>
        <w:footnoteReference w:id="1"/>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در آیه شریفه نیز نسبت به توبه محارب،</w:t>
      </w:r>
      <w:r w:rsidR="004E24CC" w:rsidRPr="006E5956">
        <w:rPr>
          <w:rFonts w:ascii="IRBadr" w:hAnsi="IRBadr" w:cs="IRBadr"/>
          <w:sz w:val="28"/>
          <w:szCs w:val="28"/>
          <w:rtl/>
          <w:lang w:bidi="fa-IR"/>
        </w:rPr>
        <w:t xml:space="preserve"> چنین</w:t>
      </w:r>
      <w:r w:rsidRPr="006E5956">
        <w:rPr>
          <w:rFonts w:ascii="IRBadr" w:hAnsi="IRBadr" w:cs="IRBadr"/>
          <w:sz w:val="28"/>
          <w:szCs w:val="28"/>
          <w:rtl/>
          <w:lang w:bidi="fa-IR"/>
        </w:rPr>
        <w:t xml:space="preserve"> بیانی دارد؛</w:t>
      </w:r>
    </w:p>
    <w:p w:rsidR="00E124E8" w:rsidRPr="006E5956" w:rsidRDefault="00E124E8" w:rsidP="00E124E8">
      <w:pPr>
        <w:bidi/>
        <w:jc w:val="both"/>
        <w:rPr>
          <w:rFonts w:ascii="IRBadr" w:hAnsi="IRBadr" w:cs="IRBadr"/>
          <w:b/>
          <w:bCs/>
          <w:sz w:val="28"/>
          <w:szCs w:val="28"/>
          <w:rtl/>
          <w:lang w:bidi="fa-IR"/>
        </w:rPr>
      </w:pPr>
      <w:r w:rsidRPr="006E5956">
        <w:rPr>
          <w:rFonts w:ascii="IRBadr" w:hAnsi="IRBadr" w:cs="IRBadr"/>
          <w:b/>
          <w:bCs/>
          <w:sz w:val="28"/>
          <w:szCs w:val="28"/>
          <w:rtl/>
          <w:lang w:bidi="fa-IR"/>
        </w:rPr>
        <w:t>«إِنَّما جَزاءُ الَّذِ</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نَ </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حارِبُونَ اللَّهَ وَ رَسُولَهُ وَ </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سْعَوْنَ فِ</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 الْأَرْضِ فَساداً أَنْ </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قَتَّلُوا أَوْ </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صَلَّبُوا أَوْ تُقَطَّعَ أَ</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دِ</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هِمْ وَ أَرْجُلُهُمْ مِنْ خِلافٍ أَوْ </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نْفَوْا مِنَ الْأَرْضِ ذلِ</w:t>
      </w:r>
      <w:r w:rsidR="004E24CC" w:rsidRPr="006E5956">
        <w:rPr>
          <w:rFonts w:ascii="IRBadr" w:hAnsi="IRBadr" w:cs="IRBadr"/>
          <w:b/>
          <w:bCs/>
          <w:sz w:val="28"/>
          <w:szCs w:val="28"/>
          <w:rtl/>
          <w:lang w:bidi="fa-IR"/>
        </w:rPr>
        <w:t>ک</w:t>
      </w:r>
      <w:r w:rsidRPr="006E5956">
        <w:rPr>
          <w:rFonts w:ascii="IRBadr" w:hAnsi="IRBadr" w:cs="IRBadr"/>
          <w:b/>
          <w:bCs/>
          <w:sz w:val="28"/>
          <w:szCs w:val="28"/>
          <w:rtl/>
          <w:lang w:bidi="fa-IR"/>
        </w:rPr>
        <w:t xml:space="preserve"> لَهُمْ خِزْ</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 فِ</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 الدُّنْ</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ا وَ لَهُمْ فِ</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 xml:space="preserve"> الْآخِرَةِ عَذابٌ </w:t>
      </w:r>
      <w:r w:rsidR="004E24CC" w:rsidRPr="006E5956">
        <w:rPr>
          <w:rFonts w:ascii="IRBadr" w:hAnsi="IRBadr" w:cs="IRBadr"/>
          <w:b/>
          <w:bCs/>
          <w:sz w:val="28"/>
          <w:szCs w:val="28"/>
          <w:rtl/>
          <w:lang w:bidi="fa-IR"/>
        </w:rPr>
        <w:t>عَظِیمٌ</w:t>
      </w:r>
      <w:r w:rsidRPr="006E5956">
        <w:rPr>
          <w:rFonts w:ascii="IRBadr" w:hAnsi="IRBadr" w:cs="IRBadr"/>
          <w:b/>
          <w:bCs/>
          <w:sz w:val="28"/>
          <w:szCs w:val="28"/>
          <w:rtl/>
          <w:lang w:bidi="fa-IR"/>
        </w:rPr>
        <w:t xml:space="preserve">» </w:t>
      </w:r>
      <w:r w:rsidRPr="006E5956">
        <w:rPr>
          <w:rFonts w:ascii="IRBadr" w:hAnsi="IRBadr" w:cs="IRBadr"/>
          <w:b/>
          <w:bCs/>
          <w:sz w:val="28"/>
          <w:szCs w:val="28"/>
          <w:vertAlign w:val="superscript"/>
          <w:rtl/>
          <w:lang w:bidi="fa-IR"/>
        </w:rPr>
        <w:footnoteReference w:id="2"/>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w:t>
      </w:r>
      <w:r w:rsidR="004E24CC" w:rsidRPr="006E5956">
        <w:rPr>
          <w:rFonts w:ascii="IRBadr" w:hAnsi="IRBadr" w:cs="IRBadr"/>
          <w:sz w:val="28"/>
          <w:szCs w:val="28"/>
          <w:rtl/>
          <w:lang w:bidi="fa-IR"/>
        </w:rPr>
        <w:t xml:space="preserve"> این</w:t>
      </w:r>
      <w:r w:rsidRPr="006E5956">
        <w:rPr>
          <w:rFonts w:ascii="IRBadr" w:hAnsi="IRBadr" w:cs="IRBadr"/>
          <w:sz w:val="28"/>
          <w:szCs w:val="28"/>
          <w:rtl/>
          <w:lang w:bidi="fa-IR"/>
        </w:rPr>
        <w:t xml:space="preserve"> در آیه اول است و بلافاصله در آیه بعد </w:t>
      </w:r>
      <w:r w:rsidR="004E24CC" w:rsidRPr="006E5956">
        <w:rPr>
          <w:rFonts w:ascii="IRBadr" w:hAnsi="IRBadr" w:cs="IRBadr"/>
          <w:sz w:val="28"/>
          <w:szCs w:val="28"/>
          <w:rtl/>
          <w:lang w:bidi="fa-IR"/>
        </w:rPr>
        <w:t>می‌فرماید</w:t>
      </w:r>
      <w:r w:rsidRPr="006E5956">
        <w:rPr>
          <w:rFonts w:ascii="IRBadr" w:hAnsi="IRBadr" w:cs="IRBadr"/>
          <w:sz w:val="28"/>
          <w:szCs w:val="28"/>
          <w:rtl/>
          <w:lang w:bidi="fa-IR"/>
        </w:rPr>
        <w:t>؛</w:t>
      </w:r>
    </w:p>
    <w:p w:rsidR="00E124E8" w:rsidRPr="006E5956" w:rsidRDefault="00E124E8" w:rsidP="00E124E8">
      <w:pPr>
        <w:bidi/>
        <w:jc w:val="both"/>
        <w:rPr>
          <w:rFonts w:ascii="IRBadr" w:hAnsi="IRBadr" w:cs="IRBadr"/>
          <w:b/>
          <w:bCs/>
          <w:sz w:val="28"/>
          <w:szCs w:val="28"/>
          <w:rtl/>
          <w:lang w:bidi="fa-IR"/>
        </w:rPr>
      </w:pPr>
      <w:r w:rsidRPr="006E5956">
        <w:rPr>
          <w:rFonts w:ascii="IRBadr" w:hAnsi="IRBadr" w:cs="IRBadr"/>
          <w:b/>
          <w:bCs/>
          <w:sz w:val="28"/>
          <w:szCs w:val="28"/>
          <w:rtl/>
          <w:lang w:bidi="fa-IR"/>
        </w:rPr>
        <w:t>«إِلَّا الَّذِ</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نَ تابُوا مِنْ قَبْلِ أَنْ تَقْدِرُوا عَلَ</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هِمْ فَاعْلَمُوا أَنَّ اللَّهَ غَفُورٌ رَحِ</w:t>
      </w:r>
      <w:r w:rsidR="004E24CC" w:rsidRPr="006E5956">
        <w:rPr>
          <w:rFonts w:ascii="IRBadr" w:hAnsi="IRBadr" w:cs="IRBadr"/>
          <w:b/>
          <w:bCs/>
          <w:sz w:val="28"/>
          <w:szCs w:val="28"/>
          <w:rtl/>
          <w:lang w:bidi="fa-IR"/>
        </w:rPr>
        <w:t>ی</w:t>
      </w:r>
      <w:r w:rsidRPr="006E5956">
        <w:rPr>
          <w:rFonts w:ascii="IRBadr" w:hAnsi="IRBadr" w:cs="IRBadr"/>
          <w:b/>
          <w:bCs/>
          <w:sz w:val="28"/>
          <w:szCs w:val="28"/>
          <w:rtl/>
          <w:lang w:bidi="fa-IR"/>
        </w:rPr>
        <w:t>م»</w:t>
      </w:r>
      <w:r w:rsidRPr="006E5956">
        <w:rPr>
          <w:rFonts w:ascii="IRBadr" w:hAnsi="IRBadr" w:cs="IRBadr"/>
          <w:b/>
          <w:bCs/>
          <w:sz w:val="28"/>
          <w:szCs w:val="28"/>
          <w:vertAlign w:val="superscript"/>
          <w:rtl/>
          <w:lang w:bidi="fa-IR"/>
        </w:rPr>
        <w:footnoteReference w:id="3"/>
      </w:r>
    </w:p>
    <w:p w:rsidR="00E124E8" w:rsidRPr="006E5956" w:rsidRDefault="00E124E8" w:rsidP="00E124E8">
      <w:pPr>
        <w:pStyle w:val="Heading1"/>
        <w:rPr>
          <w:rFonts w:ascii="IRBadr" w:hAnsi="IRBadr" w:cs="IRBadr"/>
          <w:rtl/>
        </w:rPr>
      </w:pPr>
      <w:bookmarkStart w:id="2" w:name="_Toc427751790"/>
      <w:r w:rsidRPr="006E5956">
        <w:rPr>
          <w:rFonts w:ascii="IRBadr" w:hAnsi="IRBadr" w:cs="IRBadr"/>
          <w:rtl/>
        </w:rPr>
        <w:t>بررسی آیه شریفه</w:t>
      </w:r>
      <w:bookmarkEnd w:id="2"/>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در این آیه شریفه به چند نکته </w:t>
      </w:r>
      <w:r w:rsidR="0047581D" w:rsidRPr="006E5956">
        <w:rPr>
          <w:rFonts w:ascii="IRBadr" w:hAnsi="IRBadr" w:cs="IRBadr"/>
          <w:sz w:val="28"/>
          <w:szCs w:val="28"/>
          <w:rtl/>
          <w:lang w:bidi="fa-IR"/>
        </w:rPr>
        <w:t>پرداخته‌شده</w:t>
      </w:r>
      <w:r w:rsidRPr="006E5956">
        <w:rPr>
          <w:rFonts w:ascii="IRBadr" w:hAnsi="IRBadr" w:cs="IRBadr"/>
          <w:sz w:val="28"/>
          <w:szCs w:val="28"/>
          <w:rtl/>
          <w:lang w:bidi="fa-IR"/>
        </w:rPr>
        <w:t xml:space="preserve"> است؛ یک نکته </w:t>
      </w:r>
      <w:r w:rsidR="0047581D" w:rsidRPr="006E5956">
        <w:rPr>
          <w:rFonts w:ascii="IRBadr" w:hAnsi="IRBadr" w:cs="IRBadr"/>
          <w:sz w:val="28"/>
          <w:szCs w:val="28"/>
          <w:rtl/>
          <w:lang w:bidi="fa-IR"/>
        </w:rPr>
        <w:t>این‌که</w:t>
      </w:r>
      <w:r w:rsidRPr="006E5956">
        <w:rPr>
          <w:rFonts w:ascii="IRBadr" w:hAnsi="IRBadr" w:cs="IRBadr"/>
          <w:sz w:val="28"/>
          <w:szCs w:val="28"/>
          <w:rtl/>
          <w:lang w:bidi="fa-IR"/>
        </w:rPr>
        <w:t xml:space="preserve"> آیه در مقام بیان حکم محاربه از جنبه </w:t>
      </w:r>
      <w:r w:rsidR="0047581D" w:rsidRPr="006E5956">
        <w:rPr>
          <w:rFonts w:ascii="IRBadr" w:hAnsi="IRBadr" w:cs="IRBadr"/>
          <w:sz w:val="28"/>
          <w:szCs w:val="28"/>
          <w:rtl/>
          <w:lang w:bidi="fa-IR"/>
        </w:rPr>
        <w:t>حق‌الله</w:t>
      </w:r>
      <w:r w:rsidRPr="006E5956">
        <w:rPr>
          <w:rFonts w:ascii="IRBadr" w:hAnsi="IRBadr" w:cs="IRBadr"/>
          <w:sz w:val="28"/>
          <w:szCs w:val="28"/>
          <w:rtl/>
          <w:lang w:bidi="fa-IR"/>
        </w:rPr>
        <w:t xml:space="preserve"> بودن آن است و اینکه </w:t>
      </w:r>
      <w:r w:rsidR="0047581D" w:rsidRPr="006E5956">
        <w:rPr>
          <w:rFonts w:ascii="IRBadr" w:hAnsi="IRBadr" w:cs="IRBadr"/>
          <w:sz w:val="28"/>
          <w:szCs w:val="28"/>
          <w:rtl/>
          <w:lang w:bidi="fa-IR"/>
        </w:rPr>
        <w:t>ازنظر</w:t>
      </w:r>
      <w:r w:rsidRPr="006E5956">
        <w:rPr>
          <w:rFonts w:ascii="IRBadr" w:hAnsi="IRBadr" w:cs="IRBadr"/>
          <w:sz w:val="28"/>
          <w:szCs w:val="28"/>
          <w:rtl/>
          <w:lang w:bidi="fa-IR"/>
        </w:rPr>
        <w:t xml:space="preserve"> حق عمومی این عمل محاربه و افساد </w:t>
      </w:r>
      <w:r w:rsidR="0047581D" w:rsidRPr="006E5956">
        <w:rPr>
          <w:rFonts w:ascii="IRBadr" w:hAnsi="IRBadr" w:cs="IRBadr"/>
          <w:sz w:val="28"/>
          <w:szCs w:val="28"/>
          <w:rtl/>
          <w:lang w:bidi="fa-IR"/>
        </w:rPr>
        <w:t>فی‌الار</w:t>
      </w:r>
      <w:bookmarkStart w:id="3" w:name="_GoBack"/>
      <w:bookmarkEnd w:id="3"/>
      <w:r w:rsidR="0047581D" w:rsidRPr="006E5956">
        <w:rPr>
          <w:rFonts w:ascii="IRBadr" w:hAnsi="IRBadr" w:cs="IRBadr"/>
          <w:sz w:val="28"/>
          <w:szCs w:val="28"/>
          <w:rtl/>
          <w:lang w:bidi="fa-IR"/>
        </w:rPr>
        <w:t>ض</w:t>
      </w:r>
      <w:r w:rsidRPr="006E5956">
        <w:rPr>
          <w:rFonts w:ascii="IRBadr" w:hAnsi="IRBadr" w:cs="IRBadr"/>
          <w:sz w:val="28"/>
          <w:szCs w:val="28"/>
          <w:rtl/>
          <w:lang w:bidi="fa-IR"/>
        </w:rPr>
        <w:t xml:space="preserve"> است.</w:t>
      </w:r>
      <w:r w:rsidR="004E24CC" w:rsidRPr="006E5956">
        <w:rPr>
          <w:rFonts w:ascii="IRBadr" w:hAnsi="IRBadr" w:cs="IRBadr"/>
          <w:sz w:val="28"/>
          <w:szCs w:val="28"/>
          <w:rtl/>
          <w:lang w:bidi="fa-IR"/>
        </w:rPr>
        <w:t xml:space="preserve"> جنبه</w:t>
      </w:r>
      <w:r w:rsidRPr="006E5956">
        <w:rPr>
          <w:rFonts w:ascii="IRBadr" w:hAnsi="IRBadr" w:cs="IRBadr"/>
          <w:sz w:val="28"/>
          <w:szCs w:val="28"/>
          <w:rtl/>
          <w:lang w:bidi="fa-IR"/>
        </w:rPr>
        <w:t xml:space="preserve"> </w:t>
      </w:r>
      <w:r w:rsidR="0047581D" w:rsidRPr="006E5956">
        <w:rPr>
          <w:rFonts w:ascii="IRBadr" w:hAnsi="IRBadr" w:cs="IRBadr"/>
          <w:sz w:val="28"/>
          <w:szCs w:val="28"/>
          <w:rtl/>
          <w:lang w:bidi="fa-IR"/>
        </w:rPr>
        <w:t>حق‌الناسی</w:t>
      </w:r>
      <w:r w:rsidRPr="006E5956">
        <w:rPr>
          <w:rFonts w:ascii="IRBadr" w:hAnsi="IRBadr" w:cs="IRBadr"/>
          <w:sz w:val="28"/>
          <w:szCs w:val="28"/>
          <w:rtl/>
          <w:lang w:bidi="fa-IR"/>
        </w:rPr>
        <w:t xml:space="preserve"> نیز در آن وجود دارد.</w:t>
      </w:r>
    </w:p>
    <w:p w:rsidR="00E124E8" w:rsidRPr="006E5956" w:rsidRDefault="00E124E8" w:rsidP="00E124E8">
      <w:pPr>
        <w:pStyle w:val="Heading2"/>
        <w:rPr>
          <w:rFonts w:ascii="IRBadr" w:hAnsi="IRBadr" w:cs="IRBadr"/>
          <w:rtl/>
        </w:rPr>
      </w:pPr>
      <w:bookmarkStart w:id="4" w:name="_Toc427751791"/>
      <w:r w:rsidRPr="006E5956">
        <w:rPr>
          <w:rFonts w:ascii="IRBadr" w:hAnsi="IRBadr" w:cs="IRBadr"/>
          <w:rtl/>
        </w:rPr>
        <w:lastRenderedPageBreak/>
        <w:t>عمل اتحادی و انضمامی</w:t>
      </w:r>
      <w:bookmarkEnd w:id="4"/>
    </w:p>
    <w:p w:rsidR="00E124E8" w:rsidRPr="006E5956" w:rsidRDefault="004E24CC" w:rsidP="00E124E8">
      <w:pPr>
        <w:bidi/>
        <w:jc w:val="both"/>
        <w:rPr>
          <w:rFonts w:ascii="IRBadr" w:hAnsi="IRBadr" w:cs="IRBadr"/>
          <w:sz w:val="28"/>
          <w:szCs w:val="28"/>
          <w:rtl/>
          <w:lang w:bidi="fa-IR"/>
        </w:rPr>
      </w:pPr>
      <w:r w:rsidRPr="006E5956">
        <w:rPr>
          <w:rFonts w:ascii="IRBadr" w:hAnsi="IRBadr" w:cs="IRBadr"/>
          <w:sz w:val="28"/>
          <w:szCs w:val="28"/>
          <w:rtl/>
          <w:lang w:bidi="fa-IR"/>
        </w:rPr>
        <w:t>عمل‌ها</w:t>
      </w:r>
      <w:r w:rsidR="00E124E8" w:rsidRPr="006E5956">
        <w:rPr>
          <w:rFonts w:ascii="IRBadr" w:hAnsi="IRBadr" w:cs="IRBadr"/>
          <w:sz w:val="28"/>
          <w:szCs w:val="28"/>
          <w:rtl/>
          <w:lang w:bidi="fa-IR"/>
        </w:rPr>
        <w:t xml:space="preserve"> گاهی جنبه اتحادی و گاهی نیز جنبه انضمامی دارند،</w:t>
      </w:r>
      <w:r w:rsidRPr="006E5956">
        <w:rPr>
          <w:rFonts w:ascii="IRBadr" w:hAnsi="IRBadr" w:cs="IRBadr"/>
          <w:sz w:val="28"/>
          <w:szCs w:val="28"/>
          <w:rtl/>
          <w:lang w:bidi="fa-IR"/>
        </w:rPr>
        <w:t xml:space="preserve"> یعنی</w:t>
      </w:r>
      <w:r w:rsidR="00E124E8" w:rsidRPr="006E5956">
        <w:rPr>
          <w:rFonts w:ascii="IRBadr" w:hAnsi="IRBadr" w:cs="IRBadr"/>
          <w:sz w:val="28"/>
          <w:szCs w:val="28"/>
          <w:rtl/>
          <w:lang w:bidi="fa-IR"/>
        </w:rPr>
        <w:t xml:space="preserve"> گاهی یک عمل مصداق دو عنوان است. از جهتی </w:t>
      </w:r>
      <w:r w:rsidRPr="006E5956">
        <w:rPr>
          <w:rFonts w:ascii="IRBadr" w:hAnsi="IRBadr" w:cs="IRBadr"/>
          <w:sz w:val="28"/>
          <w:szCs w:val="28"/>
          <w:rtl/>
          <w:lang w:bidi="fa-IR"/>
        </w:rPr>
        <w:t>می‌شود</w:t>
      </w:r>
      <w:r w:rsidR="00E124E8" w:rsidRPr="006E5956">
        <w:rPr>
          <w:rFonts w:ascii="IRBadr" w:hAnsi="IRBadr" w:cs="IRBadr"/>
          <w:sz w:val="28"/>
          <w:szCs w:val="28"/>
          <w:rtl/>
          <w:lang w:bidi="fa-IR"/>
        </w:rPr>
        <w:t xml:space="preserve"> موضوعاتی برای یک حکم ثابت شوند و حتی یک موضوع چند حکم پیدا کند. در اینجا نیز هر عملی که مصداق این محاربه باشد، این حکم بر آن مترتب است، ولی همان عمل ممکن است مصداقی برای بحث قصاص باشد.</w:t>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از جهتی </w:t>
      </w:r>
      <w:r w:rsidR="004E24CC" w:rsidRPr="006E5956">
        <w:rPr>
          <w:rFonts w:ascii="IRBadr" w:hAnsi="IRBadr" w:cs="IRBadr"/>
          <w:sz w:val="28"/>
          <w:szCs w:val="28"/>
          <w:rtl/>
          <w:lang w:bidi="fa-IR"/>
        </w:rPr>
        <w:t>می‌توان</w:t>
      </w:r>
      <w:r w:rsidRPr="006E5956">
        <w:rPr>
          <w:rFonts w:ascii="IRBadr" w:hAnsi="IRBadr" w:cs="IRBadr"/>
          <w:sz w:val="28"/>
          <w:szCs w:val="28"/>
          <w:rtl/>
          <w:lang w:bidi="fa-IR"/>
        </w:rPr>
        <w:t xml:space="preserve"> گفت در اینجا دو بحث وجود دارد؛</w:t>
      </w:r>
      <w:r w:rsidR="004E24CC" w:rsidRPr="006E5956">
        <w:rPr>
          <w:rFonts w:ascii="IRBadr" w:hAnsi="IRBadr" w:cs="IRBadr"/>
          <w:sz w:val="28"/>
          <w:szCs w:val="28"/>
          <w:rtl/>
          <w:lang w:bidi="fa-IR"/>
        </w:rPr>
        <w:t xml:space="preserve"> یکی</w:t>
      </w:r>
      <w:r w:rsidRPr="006E5956">
        <w:rPr>
          <w:rFonts w:ascii="IRBadr" w:hAnsi="IRBadr" w:cs="IRBadr"/>
          <w:sz w:val="28"/>
          <w:szCs w:val="28"/>
          <w:rtl/>
          <w:lang w:bidi="fa-IR"/>
        </w:rPr>
        <w:t xml:space="preserve"> اینکه این دلیل ناظر به جنبه </w:t>
      </w:r>
      <w:r w:rsidR="0047581D" w:rsidRPr="006E5956">
        <w:rPr>
          <w:rFonts w:ascii="IRBadr" w:hAnsi="IRBadr" w:cs="IRBadr"/>
          <w:sz w:val="28"/>
          <w:szCs w:val="28"/>
          <w:rtl/>
          <w:lang w:bidi="fa-IR"/>
        </w:rPr>
        <w:t>حق‌الله</w:t>
      </w:r>
      <w:r w:rsidRPr="006E5956">
        <w:rPr>
          <w:rFonts w:ascii="IRBadr" w:hAnsi="IRBadr" w:cs="IRBadr"/>
          <w:sz w:val="28"/>
          <w:szCs w:val="28"/>
          <w:rtl/>
          <w:lang w:bidi="fa-IR"/>
        </w:rPr>
        <w:t xml:space="preserve"> قضیه است و جنبه </w:t>
      </w:r>
      <w:r w:rsidR="0047581D" w:rsidRPr="006E5956">
        <w:rPr>
          <w:rFonts w:ascii="IRBadr" w:hAnsi="IRBadr" w:cs="IRBadr"/>
          <w:sz w:val="28"/>
          <w:szCs w:val="28"/>
          <w:rtl/>
          <w:lang w:bidi="fa-IR"/>
        </w:rPr>
        <w:t>حق‌الناس</w:t>
      </w:r>
      <w:r w:rsidRPr="006E5956">
        <w:rPr>
          <w:rFonts w:ascii="IRBadr" w:hAnsi="IRBadr" w:cs="IRBadr"/>
          <w:sz w:val="28"/>
          <w:szCs w:val="28"/>
          <w:rtl/>
          <w:lang w:bidi="fa-IR"/>
        </w:rPr>
        <w:t xml:space="preserve"> دارای عناوین مستقلی است. لذا اگر مالی را برده ضامن است، اگر قتل و جرحی وارد کرده،</w:t>
      </w:r>
      <w:r w:rsidR="004E24CC" w:rsidRPr="006E5956">
        <w:rPr>
          <w:rFonts w:ascii="IRBadr" w:hAnsi="IRBadr" w:cs="IRBadr"/>
          <w:sz w:val="28"/>
          <w:szCs w:val="28"/>
          <w:rtl/>
          <w:lang w:bidi="fa-IR"/>
        </w:rPr>
        <w:t xml:space="preserve"> مقابل</w:t>
      </w:r>
      <w:r w:rsidRPr="006E5956">
        <w:rPr>
          <w:rFonts w:ascii="IRBadr" w:hAnsi="IRBadr" w:cs="IRBadr"/>
          <w:sz w:val="28"/>
          <w:szCs w:val="28"/>
          <w:rtl/>
          <w:lang w:bidi="fa-IR"/>
        </w:rPr>
        <w:t xml:space="preserve"> اولیای شخص یا خود شخص مسئول است.</w:t>
      </w:r>
    </w:p>
    <w:p w:rsidR="00E124E8" w:rsidRPr="006E5956" w:rsidRDefault="00E124E8" w:rsidP="00E124E8">
      <w:pPr>
        <w:pStyle w:val="Heading3"/>
        <w:rPr>
          <w:rFonts w:ascii="IRBadr" w:hAnsi="IRBadr" w:cs="IRBadr"/>
          <w:rtl/>
        </w:rPr>
      </w:pPr>
      <w:bookmarkStart w:id="5" w:name="_Toc427751792"/>
      <w:r w:rsidRPr="006E5956">
        <w:rPr>
          <w:rFonts w:ascii="IRBadr" w:hAnsi="IRBadr" w:cs="IRBadr"/>
          <w:rtl/>
        </w:rPr>
        <w:t xml:space="preserve">قاعده </w:t>
      </w:r>
      <w:r w:rsidR="006E5956">
        <w:rPr>
          <w:rFonts w:ascii="IRBadr" w:hAnsi="IRBadr" w:cs="IRBadr"/>
          <w:rtl/>
        </w:rPr>
        <w:t>است</w:t>
      </w:r>
      <w:r w:rsidR="006E5956">
        <w:rPr>
          <w:rFonts w:ascii="IRBadr" w:hAnsi="IRBadr" w:cs="IRBadr" w:hint="cs"/>
          <w:rtl/>
        </w:rPr>
        <w:t>ی</w:t>
      </w:r>
      <w:r w:rsidR="006E5956">
        <w:rPr>
          <w:rFonts w:ascii="IRBadr" w:hAnsi="IRBadr" w:cs="IRBadr" w:hint="eastAsia"/>
          <w:rtl/>
        </w:rPr>
        <w:t>فا</w:t>
      </w:r>
      <w:r w:rsidRPr="006E5956">
        <w:rPr>
          <w:rFonts w:ascii="IRBadr" w:hAnsi="IRBadr" w:cs="IRBadr"/>
          <w:rtl/>
        </w:rPr>
        <w:t xml:space="preserve"> در مقام تعدد حدود</w:t>
      </w:r>
      <w:bookmarkEnd w:id="5"/>
    </w:p>
    <w:p w:rsidR="00E124E8" w:rsidRPr="006E5956" w:rsidRDefault="0047581D" w:rsidP="00E124E8">
      <w:pPr>
        <w:bidi/>
        <w:jc w:val="both"/>
        <w:rPr>
          <w:rFonts w:ascii="IRBadr" w:hAnsi="IRBadr" w:cs="IRBadr"/>
          <w:sz w:val="28"/>
          <w:szCs w:val="28"/>
          <w:rtl/>
          <w:lang w:bidi="fa-IR"/>
        </w:rPr>
      </w:pPr>
      <w:r w:rsidRPr="006E5956">
        <w:rPr>
          <w:rFonts w:ascii="IRBadr" w:hAnsi="IRBadr" w:cs="IRBadr"/>
          <w:sz w:val="28"/>
          <w:szCs w:val="28"/>
          <w:rtl/>
          <w:lang w:bidi="fa-IR"/>
        </w:rPr>
        <w:t>قاعده‌ای</w:t>
      </w:r>
      <w:r w:rsidR="00E124E8" w:rsidRPr="006E5956">
        <w:rPr>
          <w:rFonts w:ascii="IRBadr" w:hAnsi="IRBadr" w:cs="IRBadr"/>
          <w:sz w:val="28"/>
          <w:szCs w:val="28"/>
          <w:rtl/>
          <w:lang w:bidi="fa-IR"/>
        </w:rPr>
        <w:t xml:space="preserve"> در باب حدود وجود دارد که اگر </w:t>
      </w:r>
      <w:r w:rsidRPr="006E5956">
        <w:rPr>
          <w:rFonts w:ascii="IRBadr" w:hAnsi="IRBadr" w:cs="IRBadr"/>
          <w:sz w:val="28"/>
          <w:szCs w:val="28"/>
          <w:rtl/>
          <w:lang w:bidi="fa-IR"/>
        </w:rPr>
        <w:t>درجایی</w:t>
      </w:r>
      <w:r w:rsidR="00E124E8" w:rsidRPr="006E5956">
        <w:rPr>
          <w:rFonts w:ascii="IRBadr" w:hAnsi="IRBadr" w:cs="IRBadr"/>
          <w:sz w:val="28"/>
          <w:szCs w:val="28"/>
          <w:rtl/>
          <w:lang w:bidi="fa-IR"/>
        </w:rPr>
        <w:t xml:space="preserve"> چند حد جمع شد،</w:t>
      </w:r>
      <w:r w:rsidR="004E24CC" w:rsidRPr="006E5956">
        <w:rPr>
          <w:rFonts w:ascii="IRBadr" w:hAnsi="IRBadr" w:cs="IRBadr"/>
          <w:sz w:val="28"/>
          <w:szCs w:val="28"/>
          <w:rtl/>
          <w:lang w:bidi="fa-IR"/>
        </w:rPr>
        <w:t xml:space="preserve"> حدود</w:t>
      </w:r>
      <w:r w:rsidR="00E124E8" w:rsidRPr="006E5956">
        <w:rPr>
          <w:rFonts w:ascii="IRBadr" w:hAnsi="IRBadr" w:cs="IRBadr"/>
          <w:sz w:val="28"/>
          <w:szCs w:val="28"/>
          <w:rtl/>
          <w:lang w:bidi="fa-IR"/>
        </w:rPr>
        <w:t xml:space="preserve"> باید نحوی اجرا شود که همه </w:t>
      </w:r>
      <w:r w:rsidR="004E24CC" w:rsidRPr="006E5956">
        <w:rPr>
          <w:rFonts w:ascii="IRBadr" w:hAnsi="IRBadr" w:cs="IRBadr"/>
          <w:sz w:val="28"/>
          <w:szCs w:val="28"/>
          <w:rtl/>
          <w:lang w:bidi="fa-IR"/>
        </w:rPr>
        <w:t>آن‌ها</w:t>
      </w:r>
      <w:r w:rsidR="00E124E8" w:rsidRPr="006E5956">
        <w:rPr>
          <w:rFonts w:ascii="IRBadr" w:hAnsi="IRBadr" w:cs="IRBadr"/>
          <w:sz w:val="28"/>
          <w:szCs w:val="28"/>
          <w:rtl/>
          <w:lang w:bidi="fa-IR"/>
        </w:rPr>
        <w:t xml:space="preserve"> </w:t>
      </w:r>
      <w:r w:rsidR="006E5956">
        <w:rPr>
          <w:rFonts w:ascii="IRBadr" w:hAnsi="IRBadr" w:cs="IRBadr"/>
          <w:sz w:val="28"/>
          <w:szCs w:val="28"/>
          <w:rtl/>
          <w:lang w:bidi="fa-IR"/>
        </w:rPr>
        <w:t>استیفا</w:t>
      </w:r>
      <w:r w:rsidR="00E124E8" w:rsidRPr="006E5956">
        <w:rPr>
          <w:rFonts w:ascii="IRBadr" w:hAnsi="IRBadr" w:cs="IRBadr"/>
          <w:sz w:val="28"/>
          <w:szCs w:val="28"/>
          <w:rtl/>
          <w:lang w:bidi="fa-IR"/>
        </w:rPr>
        <w:t xml:space="preserve"> گردد، در قبال عنوان محاربه نیز به همین صورت است که اگر فرد علاوه بر تشهیر سلاح،</w:t>
      </w:r>
      <w:r w:rsidR="004E24CC" w:rsidRPr="006E5956">
        <w:rPr>
          <w:rFonts w:ascii="IRBadr" w:hAnsi="IRBadr" w:cs="IRBadr"/>
          <w:sz w:val="28"/>
          <w:szCs w:val="28"/>
          <w:rtl/>
          <w:lang w:bidi="fa-IR"/>
        </w:rPr>
        <w:t xml:space="preserve"> دست</w:t>
      </w:r>
      <w:r w:rsidR="00E124E8" w:rsidRPr="006E5956">
        <w:rPr>
          <w:rFonts w:ascii="IRBadr" w:hAnsi="IRBadr" w:cs="IRBadr"/>
          <w:sz w:val="28"/>
          <w:szCs w:val="28"/>
          <w:rtl/>
          <w:lang w:bidi="fa-IR"/>
        </w:rPr>
        <w:t xml:space="preserve"> به قتل یا غارت یا عناوین دیگر زد،</w:t>
      </w:r>
      <w:r w:rsidR="004E24CC" w:rsidRPr="006E5956">
        <w:rPr>
          <w:rFonts w:ascii="IRBadr" w:hAnsi="IRBadr" w:cs="IRBadr"/>
          <w:sz w:val="28"/>
          <w:szCs w:val="28"/>
          <w:rtl/>
          <w:lang w:bidi="fa-IR"/>
        </w:rPr>
        <w:t xml:space="preserve"> در</w:t>
      </w:r>
      <w:r w:rsidR="00E124E8" w:rsidRPr="006E5956">
        <w:rPr>
          <w:rFonts w:ascii="IRBadr" w:hAnsi="IRBadr" w:cs="IRBadr"/>
          <w:sz w:val="28"/>
          <w:szCs w:val="28"/>
          <w:rtl/>
          <w:lang w:bidi="fa-IR"/>
        </w:rPr>
        <w:t xml:space="preserve"> مقام جزاء باید </w:t>
      </w:r>
      <w:r w:rsidR="006E5956">
        <w:rPr>
          <w:rFonts w:ascii="IRBadr" w:hAnsi="IRBadr" w:cs="IRBadr"/>
          <w:sz w:val="28"/>
          <w:szCs w:val="28"/>
          <w:rtl/>
          <w:lang w:bidi="fa-IR"/>
        </w:rPr>
        <w:t>استیفا</w:t>
      </w:r>
      <w:r w:rsidR="00E124E8" w:rsidRPr="006E5956">
        <w:rPr>
          <w:rFonts w:ascii="IRBadr" w:hAnsi="IRBadr" w:cs="IRBadr"/>
          <w:sz w:val="28"/>
          <w:szCs w:val="28"/>
          <w:rtl/>
          <w:lang w:bidi="fa-IR"/>
        </w:rPr>
        <w:t xml:space="preserve"> عقاب از او صورت پذیرد.</w:t>
      </w:r>
      <w:r w:rsidR="004E24CC" w:rsidRPr="006E5956">
        <w:rPr>
          <w:rFonts w:ascii="IRBadr" w:hAnsi="IRBadr" w:cs="IRBadr"/>
          <w:sz w:val="28"/>
          <w:szCs w:val="28"/>
          <w:rtl/>
          <w:lang w:bidi="fa-IR"/>
        </w:rPr>
        <w:t xml:space="preserve"> لذا</w:t>
      </w:r>
      <w:r w:rsidR="00E124E8" w:rsidRPr="006E5956">
        <w:rPr>
          <w:rFonts w:ascii="IRBadr" w:hAnsi="IRBadr" w:cs="IRBadr"/>
          <w:sz w:val="28"/>
          <w:szCs w:val="28"/>
          <w:rtl/>
          <w:lang w:bidi="fa-IR"/>
        </w:rPr>
        <w:t xml:space="preserve"> </w:t>
      </w:r>
      <w:r w:rsidR="004E24CC" w:rsidRPr="006E5956">
        <w:rPr>
          <w:rFonts w:ascii="IRBadr" w:hAnsi="IRBadr" w:cs="IRBadr"/>
          <w:sz w:val="28"/>
          <w:szCs w:val="28"/>
          <w:rtl/>
          <w:lang w:bidi="fa-IR"/>
        </w:rPr>
        <w:t>نمی‌شود</w:t>
      </w:r>
      <w:r w:rsidR="00E124E8" w:rsidRPr="006E5956">
        <w:rPr>
          <w:rFonts w:ascii="IRBadr" w:hAnsi="IRBadr" w:cs="IRBadr"/>
          <w:sz w:val="28"/>
          <w:szCs w:val="28"/>
          <w:rtl/>
          <w:lang w:bidi="fa-IR"/>
        </w:rPr>
        <w:t xml:space="preserve"> اول او را کشت،</w:t>
      </w:r>
      <w:r w:rsidR="004E24CC" w:rsidRPr="006E5956">
        <w:rPr>
          <w:rFonts w:ascii="IRBadr" w:hAnsi="IRBadr" w:cs="IRBadr"/>
          <w:sz w:val="28"/>
          <w:szCs w:val="28"/>
          <w:rtl/>
          <w:lang w:bidi="fa-IR"/>
        </w:rPr>
        <w:t xml:space="preserve"> </w:t>
      </w:r>
      <w:r w:rsidRPr="006E5956">
        <w:rPr>
          <w:rFonts w:ascii="IRBadr" w:hAnsi="IRBadr" w:cs="IRBadr"/>
          <w:sz w:val="28"/>
          <w:szCs w:val="28"/>
          <w:rtl/>
          <w:lang w:bidi="fa-IR"/>
        </w:rPr>
        <w:t>پس‌ازآن</w:t>
      </w:r>
      <w:r w:rsidR="00E124E8" w:rsidRPr="006E5956">
        <w:rPr>
          <w:rFonts w:ascii="IRBadr" w:hAnsi="IRBadr" w:cs="IRBadr"/>
          <w:sz w:val="28"/>
          <w:szCs w:val="28"/>
          <w:rtl/>
          <w:lang w:bidi="fa-IR"/>
        </w:rPr>
        <w:t xml:space="preserve"> حدود دیگر مانند قطع ید را انجام داد.</w:t>
      </w:r>
    </w:p>
    <w:p w:rsidR="00E124E8" w:rsidRPr="006E5956" w:rsidRDefault="00E124E8" w:rsidP="006E5956">
      <w:pPr>
        <w:pStyle w:val="Heading4"/>
        <w:rPr>
          <w:rtl/>
        </w:rPr>
      </w:pPr>
      <w:bookmarkStart w:id="6" w:name="_Toc427751793"/>
      <w:r w:rsidRPr="006E5956">
        <w:rPr>
          <w:rtl/>
        </w:rPr>
        <w:t>مسقطیت توبه در این مقام</w:t>
      </w:r>
      <w:bookmarkEnd w:id="6"/>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در قبال مسقطیت توبه در این مقام باید گفت که بله، طبق نص آیه شریفه توبه در قبال محاربه مسقط خواهد بود.</w:t>
      </w:r>
      <w:r w:rsidR="004E24CC" w:rsidRPr="006E5956">
        <w:rPr>
          <w:rFonts w:ascii="IRBadr" w:hAnsi="IRBadr" w:cs="IRBadr"/>
          <w:sz w:val="28"/>
          <w:szCs w:val="28"/>
          <w:rtl/>
          <w:lang w:bidi="fa-IR"/>
        </w:rPr>
        <w:t xml:space="preserve"> </w:t>
      </w:r>
      <w:r w:rsidR="0047581D" w:rsidRPr="006E5956">
        <w:rPr>
          <w:rFonts w:ascii="IRBadr" w:hAnsi="IRBadr" w:cs="IRBadr"/>
          <w:sz w:val="28"/>
          <w:szCs w:val="28"/>
          <w:rtl/>
          <w:lang w:bidi="fa-IR"/>
        </w:rPr>
        <w:t>همان‌طور</w:t>
      </w:r>
      <w:r w:rsidRPr="006E5956">
        <w:rPr>
          <w:rFonts w:ascii="IRBadr" w:hAnsi="IRBadr" w:cs="IRBadr"/>
          <w:sz w:val="28"/>
          <w:szCs w:val="28"/>
          <w:rtl/>
          <w:lang w:bidi="fa-IR"/>
        </w:rPr>
        <w:t xml:space="preserve"> که آیه شریفه فرموده اگر فرد قبل از آنکه حاکم </w:t>
      </w:r>
      <w:r w:rsidR="004E24CC" w:rsidRPr="006E5956">
        <w:rPr>
          <w:rFonts w:ascii="IRBadr" w:hAnsi="IRBadr" w:cs="IRBadr"/>
          <w:sz w:val="28"/>
          <w:szCs w:val="28"/>
          <w:rtl/>
          <w:lang w:bidi="fa-IR"/>
        </w:rPr>
        <w:t>آن‌ها</w:t>
      </w:r>
      <w:r w:rsidRPr="006E5956">
        <w:rPr>
          <w:rFonts w:ascii="IRBadr" w:hAnsi="IRBadr" w:cs="IRBadr"/>
          <w:sz w:val="28"/>
          <w:szCs w:val="28"/>
          <w:rtl/>
          <w:lang w:bidi="fa-IR"/>
        </w:rPr>
        <w:t xml:space="preserve"> را دستگیر کند توبه کنند،</w:t>
      </w:r>
      <w:r w:rsidR="004E24CC" w:rsidRPr="006E5956">
        <w:rPr>
          <w:rFonts w:ascii="IRBadr" w:hAnsi="IRBadr" w:cs="IRBadr"/>
          <w:sz w:val="28"/>
          <w:szCs w:val="28"/>
          <w:rtl/>
          <w:lang w:bidi="fa-IR"/>
        </w:rPr>
        <w:t xml:space="preserve"> حد</w:t>
      </w:r>
      <w:r w:rsidRPr="006E5956">
        <w:rPr>
          <w:rFonts w:ascii="IRBadr" w:hAnsi="IRBadr" w:cs="IRBadr"/>
          <w:sz w:val="28"/>
          <w:szCs w:val="28"/>
          <w:rtl/>
          <w:lang w:bidi="fa-IR"/>
        </w:rPr>
        <w:t xml:space="preserve"> ساقط خواهد شد.</w:t>
      </w:r>
    </w:p>
    <w:p w:rsidR="00E124E8" w:rsidRPr="006E5956" w:rsidRDefault="00E124E8" w:rsidP="006E5956">
      <w:pPr>
        <w:pStyle w:val="Heading4"/>
        <w:rPr>
          <w:rtl/>
        </w:rPr>
      </w:pPr>
      <w:bookmarkStart w:id="7" w:name="_Toc427751794"/>
      <w:r w:rsidRPr="006E5956">
        <w:rPr>
          <w:rtl/>
        </w:rPr>
        <w:t>تصلیب محارب</w:t>
      </w:r>
      <w:bookmarkEnd w:id="7"/>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دومین گزینه که در آیه شریفه در قبال حد محارب </w:t>
      </w:r>
      <w:r w:rsidR="0047581D" w:rsidRPr="006E5956">
        <w:rPr>
          <w:rFonts w:ascii="IRBadr" w:hAnsi="IRBadr" w:cs="IRBadr"/>
          <w:sz w:val="28"/>
          <w:szCs w:val="28"/>
          <w:rtl/>
          <w:lang w:bidi="fa-IR"/>
        </w:rPr>
        <w:t>بیان‌شده</w:t>
      </w:r>
      <w:r w:rsidRPr="006E5956">
        <w:rPr>
          <w:rFonts w:ascii="IRBadr" w:hAnsi="IRBadr" w:cs="IRBadr"/>
          <w:sz w:val="28"/>
          <w:szCs w:val="28"/>
          <w:rtl/>
          <w:lang w:bidi="fa-IR"/>
        </w:rPr>
        <w:t xml:space="preserve"> است،</w:t>
      </w:r>
      <w:r w:rsidR="004E24CC" w:rsidRPr="006E5956">
        <w:rPr>
          <w:rFonts w:ascii="IRBadr" w:hAnsi="IRBadr" w:cs="IRBadr"/>
          <w:sz w:val="28"/>
          <w:szCs w:val="28"/>
          <w:rtl/>
          <w:lang w:bidi="fa-IR"/>
        </w:rPr>
        <w:t xml:space="preserve"> تصلیب</w:t>
      </w:r>
      <w:r w:rsidRPr="006E5956">
        <w:rPr>
          <w:rFonts w:ascii="IRBadr" w:hAnsi="IRBadr" w:cs="IRBadr"/>
          <w:sz w:val="28"/>
          <w:szCs w:val="28"/>
          <w:rtl/>
          <w:lang w:bidi="fa-IR"/>
        </w:rPr>
        <w:t xml:space="preserve"> اوست. در این رابطه چند نکته وجود دارد که؛ آیا به دار آویختن باید بعد از قتل باشد یا فرد </w:t>
      </w:r>
      <w:r w:rsidR="0047581D" w:rsidRPr="006E5956">
        <w:rPr>
          <w:rFonts w:ascii="IRBadr" w:hAnsi="IRBadr" w:cs="IRBadr"/>
          <w:sz w:val="28"/>
          <w:szCs w:val="28"/>
          <w:rtl/>
          <w:lang w:bidi="fa-IR"/>
        </w:rPr>
        <w:t>به‌واسطه</w:t>
      </w:r>
      <w:r w:rsidRPr="006E5956">
        <w:rPr>
          <w:rFonts w:ascii="IRBadr" w:hAnsi="IRBadr" w:cs="IRBadr"/>
          <w:sz w:val="28"/>
          <w:szCs w:val="28"/>
          <w:rtl/>
          <w:lang w:bidi="fa-IR"/>
        </w:rPr>
        <w:t xml:space="preserve"> تصلیب باید به قتل برسد؟ پس از به دار آویختن چند روز باید در آنجا باقی بماند؟</w:t>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این موارد سؤالاتی است که در متن تحریر در قبال آن </w:t>
      </w:r>
      <w:r w:rsidR="0047581D" w:rsidRPr="006E5956">
        <w:rPr>
          <w:rFonts w:ascii="IRBadr" w:hAnsi="IRBadr" w:cs="IRBadr"/>
          <w:sz w:val="28"/>
          <w:szCs w:val="28"/>
          <w:rtl/>
          <w:lang w:bidi="fa-IR"/>
        </w:rPr>
        <w:t>این‌گونه</w:t>
      </w:r>
      <w:r w:rsidRPr="006E5956">
        <w:rPr>
          <w:rFonts w:ascii="IRBadr" w:hAnsi="IRBadr" w:cs="IRBadr"/>
          <w:sz w:val="28"/>
          <w:szCs w:val="28"/>
          <w:rtl/>
          <w:lang w:bidi="fa-IR"/>
        </w:rPr>
        <w:t xml:space="preserve"> جواب </w:t>
      </w:r>
      <w:r w:rsidR="0047581D" w:rsidRPr="006E5956">
        <w:rPr>
          <w:rFonts w:ascii="IRBadr" w:hAnsi="IRBadr" w:cs="IRBadr"/>
          <w:sz w:val="28"/>
          <w:szCs w:val="28"/>
          <w:rtl/>
          <w:lang w:bidi="fa-IR"/>
        </w:rPr>
        <w:t>داده‌شده</w:t>
      </w:r>
      <w:r w:rsidRPr="006E5956">
        <w:rPr>
          <w:rFonts w:ascii="IRBadr" w:hAnsi="IRBadr" w:cs="IRBadr"/>
          <w:sz w:val="28"/>
          <w:szCs w:val="28"/>
          <w:rtl/>
          <w:lang w:bidi="fa-IR"/>
        </w:rPr>
        <w:t xml:space="preserve"> است؛</w:t>
      </w:r>
    </w:p>
    <w:p w:rsidR="00E124E8" w:rsidRPr="006E5956" w:rsidRDefault="00E124E8" w:rsidP="00E124E8">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E5956">
        <w:rPr>
          <w:rFonts w:ascii="IRBadr" w:eastAsia="Times New Roman" w:hAnsi="IRBadr" w:cs="IRBadr"/>
          <w:b/>
          <w:bCs/>
          <w:color w:val="000000" w:themeColor="text1"/>
          <w:sz w:val="28"/>
          <w:szCs w:val="28"/>
          <w:rtl/>
          <w:lang w:bidi="fa-IR"/>
        </w:rPr>
        <w:lastRenderedPageBreak/>
        <w:t xml:space="preserve">«مسألة 9: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صلب المحارب ح</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اً، و لا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جوز الإبقاء مصلوباً أ</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ثر من ثلاثة أ</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ام، ثمّ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نزل، فإن </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ان م</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تاً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غسّل و </w:t>
      </w:r>
      <w:r w:rsidR="004E24CC" w:rsidRPr="006E5956">
        <w:rPr>
          <w:rFonts w:ascii="IRBadr" w:eastAsia="Times New Roman" w:hAnsi="IRBadr" w:cs="IRBadr"/>
          <w:b/>
          <w:bCs/>
          <w:color w:val="000000" w:themeColor="text1"/>
          <w:sz w:val="28"/>
          <w:szCs w:val="28"/>
          <w:rtl/>
          <w:lang w:bidi="fa-IR"/>
        </w:rPr>
        <w:t>یک</w:t>
      </w:r>
      <w:r w:rsidRPr="006E5956">
        <w:rPr>
          <w:rFonts w:ascii="IRBadr" w:eastAsia="Times New Roman" w:hAnsi="IRBadr" w:cs="IRBadr"/>
          <w:b/>
          <w:bCs/>
          <w:color w:val="000000" w:themeColor="text1"/>
          <w:sz w:val="28"/>
          <w:szCs w:val="28"/>
          <w:rtl/>
          <w:lang w:bidi="fa-IR"/>
        </w:rPr>
        <w:t xml:space="preserve">فّن و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صلّ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عل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ه و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دفن، و إن </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ان ح</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اً ق</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ل: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جهز عل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ه و هو مش</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 xml:space="preserve">ل. نعم،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م</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ن القول بجواز الصلب عل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نحو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موت به، و هو أ</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ضاً لا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خلو من إش</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ال»</w:t>
      </w:r>
      <w:r w:rsidRPr="006E5956">
        <w:rPr>
          <w:rFonts w:ascii="IRBadr" w:eastAsia="Times New Roman" w:hAnsi="IRBadr" w:cs="IRBadr"/>
          <w:b/>
          <w:bCs/>
          <w:color w:val="000000" w:themeColor="text1"/>
          <w:sz w:val="28"/>
          <w:szCs w:val="28"/>
          <w:vertAlign w:val="superscript"/>
          <w:rtl/>
          <w:lang w:bidi="fa-IR"/>
        </w:rPr>
        <w:footnoteReference w:id="4"/>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باید او با به دار </w:t>
      </w:r>
      <w:r w:rsidR="004E24CC" w:rsidRPr="006E5956">
        <w:rPr>
          <w:rFonts w:ascii="IRBadr" w:hAnsi="IRBadr" w:cs="IRBadr"/>
          <w:sz w:val="28"/>
          <w:szCs w:val="28"/>
          <w:rtl/>
          <w:lang w:bidi="fa-IR"/>
        </w:rPr>
        <w:t>آویخته</w:t>
      </w:r>
      <w:r w:rsidRPr="006E5956">
        <w:rPr>
          <w:rFonts w:ascii="IRBadr" w:hAnsi="IRBadr" w:cs="IRBadr"/>
          <w:sz w:val="28"/>
          <w:szCs w:val="28"/>
          <w:rtl/>
          <w:lang w:bidi="fa-IR"/>
        </w:rPr>
        <w:t xml:space="preserve"> شدن به قتل برسد و بیش از سه روز </w:t>
      </w:r>
      <w:r w:rsidR="006E5956">
        <w:rPr>
          <w:rFonts w:ascii="IRBadr" w:hAnsi="IRBadr" w:cs="IRBadr"/>
          <w:sz w:val="28"/>
          <w:szCs w:val="28"/>
          <w:rtl/>
          <w:lang w:bidi="fa-IR"/>
        </w:rPr>
        <w:t>جایز</w:t>
      </w:r>
      <w:r w:rsidRPr="006E5956">
        <w:rPr>
          <w:rFonts w:ascii="IRBadr" w:hAnsi="IRBadr" w:cs="IRBadr"/>
          <w:sz w:val="28"/>
          <w:szCs w:val="28"/>
          <w:rtl/>
          <w:lang w:bidi="fa-IR"/>
        </w:rPr>
        <w:t xml:space="preserve"> نیست بر بالای دار بماند.</w:t>
      </w:r>
    </w:p>
    <w:p w:rsidR="00E124E8" w:rsidRPr="006E5956" w:rsidRDefault="00E124E8" w:rsidP="006E5956">
      <w:pPr>
        <w:pStyle w:val="Heading4"/>
        <w:rPr>
          <w:rtl/>
        </w:rPr>
      </w:pPr>
      <w:bookmarkStart w:id="8" w:name="_Toc427751795"/>
      <w:r w:rsidRPr="006E5956">
        <w:rPr>
          <w:rtl/>
        </w:rPr>
        <w:t>مستندات بحث</w:t>
      </w:r>
      <w:bookmarkEnd w:id="8"/>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آنچه در</w:t>
      </w:r>
      <w:r w:rsidR="004E24CC" w:rsidRPr="006E5956">
        <w:rPr>
          <w:rFonts w:ascii="IRBadr" w:hAnsi="IRBadr" w:cs="IRBadr"/>
          <w:sz w:val="28"/>
          <w:szCs w:val="28"/>
          <w:rtl/>
          <w:lang w:bidi="fa-IR"/>
        </w:rPr>
        <w:t xml:space="preserve"> </w:t>
      </w:r>
      <w:r w:rsidRPr="006E5956">
        <w:rPr>
          <w:rFonts w:ascii="IRBadr" w:hAnsi="IRBadr" w:cs="IRBadr"/>
          <w:sz w:val="28"/>
          <w:szCs w:val="28"/>
          <w:rtl/>
          <w:lang w:bidi="fa-IR"/>
        </w:rPr>
        <w:t xml:space="preserve">روایات مشخص </w:t>
      </w:r>
      <w:r w:rsidR="004E24CC" w:rsidRPr="006E5956">
        <w:rPr>
          <w:rFonts w:ascii="IRBadr" w:hAnsi="IRBadr" w:cs="IRBadr"/>
          <w:sz w:val="28"/>
          <w:szCs w:val="28"/>
          <w:rtl/>
          <w:lang w:bidi="fa-IR"/>
        </w:rPr>
        <w:t>می‌شود</w:t>
      </w:r>
      <w:r w:rsidRPr="006E5956">
        <w:rPr>
          <w:rFonts w:ascii="IRBadr" w:hAnsi="IRBadr" w:cs="IRBadr"/>
          <w:sz w:val="28"/>
          <w:szCs w:val="28"/>
          <w:rtl/>
          <w:lang w:bidi="fa-IR"/>
        </w:rPr>
        <w:t>،</w:t>
      </w:r>
      <w:r w:rsidR="004E24CC" w:rsidRPr="006E5956">
        <w:rPr>
          <w:rFonts w:ascii="IRBadr" w:hAnsi="IRBadr" w:cs="IRBadr"/>
          <w:sz w:val="28"/>
          <w:szCs w:val="28"/>
          <w:rtl/>
          <w:lang w:bidi="fa-IR"/>
        </w:rPr>
        <w:t xml:space="preserve"> این</w:t>
      </w:r>
      <w:r w:rsidRPr="006E5956">
        <w:rPr>
          <w:rFonts w:ascii="IRBadr" w:hAnsi="IRBadr" w:cs="IRBadr"/>
          <w:sz w:val="28"/>
          <w:szCs w:val="28"/>
          <w:rtl/>
          <w:lang w:bidi="fa-IR"/>
        </w:rPr>
        <w:t xml:space="preserve"> است که صلب مربوط به بعد قتل است، مثلاً در روایت اول از باب اول، ابواب حد محارب که روایت دال بر ترتیب بود، </w:t>
      </w:r>
      <w:r w:rsidR="0047581D" w:rsidRPr="006E5956">
        <w:rPr>
          <w:rFonts w:ascii="IRBadr" w:hAnsi="IRBadr" w:cs="IRBadr"/>
          <w:sz w:val="28"/>
          <w:szCs w:val="28"/>
          <w:rtl/>
          <w:lang w:bidi="fa-IR"/>
        </w:rPr>
        <w:t>این‌گونه</w:t>
      </w:r>
      <w:r w:rsidRPr="006E5956">
        <w:rPr>
          <w:rFonts w:ascii="IRBadr" w:hAnsi="IRBadr" w:cs="IRBadr"/>
          <w:sz w:val="28"/>
          <w:szCs w:val="28"/>
          <w:rtl/>
          <w:lang w:bidi="fa-IR"/>
        </w:rPr>
        <w:t xml:space="preserve"> بود که؛</w:t>
      </w:r>
    </w:p>
    <w:p w:rsidR="00E124E8" w:rsidRPr="006E5956" w:rsidRDefault="00E124E8" w:rsidP="006E5956">
      <w:pPr>
        <w:pStyle w:val="Heading4"/>
        <w:rPr>
          <w:rtl/>
        </w:rPr>
      </w:pPr>
      <w:bookmarkStart w:id="9" w:name="_Toc427751796"/>
      <w:r w:rsidRPr="006E5956">
        <w:rPr>
          <w:rtl/>
        </w:rPr>
        <w:t>روایت اول</w:t>
      </w:r>
      <w:bookmarkEnd w:id="9"/>
    </w:p>
    <w:p w:rsidR="00E124E8" w:rsidRPr="006E5956" w:rsidRDefault="00E124E8" w:rsidP="00E124E8">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E5956">
        <w:rPr>
          <w:rFonts w:ascii="IRBadr" w:eastAsia="Times New Roman" w:hAnsi="IRBadr" w:cs="IRBadr"/>
          <w:b/>
          <w:bCs/>
          <w:color w:val="000000" w:themeColor="text1"/>
          <w:sz w:val="28"/>
          <w:szCs w:val="28"/>
          <w:rtl/>
          <w:lang w:bidi="fa-IR"/>
        </w:rPr>
        <w:t xml:space="preserve">«مُحَمَّدُ بْنُ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حْ</w:t>
      </w:r>
      <w:r w:rsidR="004E24CC" w:rsidRPr="006E5956">
        <w:rPr>
          <w:rFonts w:ascii="IRBadr" w:eastAsia="Times New Roman" w:hAnsi="IRBadr" w:cs="IRBadr"/>
          <w:b/>
          <w:bCs/>
          <w:color w:val="000000" w:themeColor="text1"/>
          <w:sz w:val="28"/>
          <w:szCs w:val="28"/>
          <w:rtl/>
          <w:lang w:bidi="fa-IR"/>
        </w:rPr>
        <w:t>یی</w:t>
      </w:r>
      <w:r w:rsidRPr="006E5956">
        <w:rPr>
          <w:rFonts w:ascii="IRBadr" w:eastAsia="Times New Roman" w:hAnsi="IRBadr" w:cs="IRBadr"/>
          <w:b/>
          <w:bCs/>
          <w:color w:val="000000" w:themeColor="text1"/>
          <w:sz w:val="28"/>
          <w:szCs w:val="28"/>
          <w:rtl/>
          <w:lang w:bidi="fa-IR"/>
        </w:rPr>
        <w:t xml:space="preserve"> عَنْ أَحْمَدَ بْنِ مُحَمَّدٍ عَنِ ابْنِ مَحْبُوبٍ عَنْ أَبِ</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أَ</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وبَ عَنْ مُحَمَّدِ بْنِ مُسْلِمٍ عَنْ أَبِ</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جَعْفَرٍ ع قَالَ: مَنْ شَهَرَ السِّلَاحَ فِ</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مِصْرٍ مِنَ الْأَمْصَارِ فَعَقَرَ اقْتُصَّ مِنْهُ وَ نُفِ</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مِنْ تِلْ</w:t>
      </w:r>
      <w:r w:rsidR="004E24CC" w:rsidRPr="006E5956">
        <w:rPr>
          <w:rFonts w:ascii="IRBadr" w:eastAsia="Times New Roman" w:hAnsi="IRBadr" w:cs="IRBadr"/>
          <w:b/>
          <w:bCs/>
          <w:color w:val="000000" w:themeColor="text1"/>
          <w:sz w:val="28"/>
          <w:szCs w:val="28"/>
          <w:rtl/>
          <w:lang w:bidi="fa-IR"/>
        </w:rPr>
        <w:t>ک</w:t>
      </w:r>
      <w:r w:rsidRPr="006E5956">
        <w:rPr>
          <w:rFonts w:ascii="IRBadr" w:eastAsia="Times New Roman" w:hAnsi="IRBadr" w:cs="IRBadr"/>
          <w:b/>
          <w:bCs/>
          <w:color w:val="000000" w:themeColor="text1"/>
          <w:sz w:val="28"/>
          <w:szCs w:val="28"/>
          <w:rtl/>
          <w:lang w:bidi="fa-IR"/>
        </w:rPr>
        <w:t xml:space="preserve"> الْبَلْدَةِ وَ مَنْ شَهَرَ السِّلَاحَ فِ</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غَ</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رِ الْأَمْصَارِ وَ ضَرَبَ وَ عَقَرَ وَ أَخَذَ الْمَالَ وَ لَمْ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قْتُلْ فَهُوَ مُحَارِبٌ فَجَزَاؤُهُ جَزَاءُ الْمُحَارِبِ وَ أَمْرُهُ إِلَ</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 xml:space="preserve"> الْإِمَامِ إِنْ شَاءَ قَتَلَهُ وَ [إِنْ شَاءَ] صَلَبَهُ وَ إِنْ شَاءَ قَطَعَ </w:t>
      </w:r>
      <w:r w:rsidR="004E24CC" w:rsidRPr="006E5956">
        <w:rPr>
          <w:rFonts w:ascii="IRBadr" w:eastAsia="Times New Roman" w:hAnsi="IRBadr" w:cs="IRBadr"/>
          <w:b/>
          <w:bCs/>
          <w:color w:val="000000" w:themeColor="text1"/>
          <w:sz w:val="28"/>
          <w:szCs w:val="28"/>
          <w:rtl/>
          <w:lang w:bidi="fa-IR"/>
        </w:rPr>
        <w:t>ی</w:t>
      </w:r>
      <w:r w:rsidRPr="006E5956">
        <w:rPr>
          <w:rFonts w:ascii="IRBadr" w:eastAsia="Times New Roman" w:hAnsi="IRBadr" w:cs="IRBadr"/>
          <w:b/>
          <w:bCs/>
          <w:color w:val="000000" w:themeColor="text1"/>
          <w:sz w:val="28"/>
          <w:szCs w:val="28"/>
          <w:rtl/>
          <w:lang w:bidi="fa-IR"/>
        </w:rPr>
        <w:t>دَهُ وَ رِجْلَهُ»</w:t>
      </w:r>
      <w:r w:rsidRPr="006E5956">
        <w:rPr>
          <w:rFonts w:ascii="IRBadr" w:eastAsia="Times New Roman" w:hAnsi="IRBadr" w:cs="IRBadr"/>
          <w:b/>
          <w:bCs/>
          <w:color w:val="000000" w:themeColor="text1"/>
          <w:sz w:val="28"/>
          <w:szCs w:val="28"/>
          <w:vertAlign w:val="superscript"/>
          <w:rtl/>
          <w:lang w:bidi="fa-IR"/>
        </w:rPr>
        <w:footnoteReference w:id="5"/>
      </w:r>
    </w:p>
    <w:p w:rsidR="00E124E8" w:rsidRPr="006E5956" w:rsidRDefault="006E5956" w:rsidP="00E124E8">
      <w:pPr>
        <w:bidi/>
        <w:jc w:val="both"/>
        <w:rPr>
          <w:rFonts w:ascii="IRBadr" w:hAnsi="IRBadr" w:cs="IRBadr"/>
          <w:sz w:val="28"/>
          <w:szCs w:val="28"/>
          <w:rtl/>
          <w:lang w:bidi="fa-IR"/>
        </w:rPr>
      </w:pPr>
      <w:r>
        <w:rPr>
          <w:rFonts w:ascii="IRBadr" w:hAnsi="IRBadr" w:cs="IRBadr"/>
          <w:sz w:val="28"/>
          <w:szCs w:val="28"/>
          <w:rtl/>
          <w:lang w:bidi="fa-IR"/>
        </w:rPr>
        <w:t>بنا بر</w:t>
      </w:r>
      <w:r w:rsidR="00E124E8" w:rsidRPr="006E5956">
        <w:rPr>
          <w:rFonts w:ascii="IRBadr" w:hAnsi="IRBadr" w:cs="IRBadr"/>
          <w:sz w:val="28"/>
          <w:szCs w:val="28"/>
          <w:rtl/>
          <w:lang w:bidi="fa-IR"/>
        </w:rPr>
        <w:t xml:space="preserve"> روایت ترتیب صلب برای موت نیست بلکه صلب بعد موت است که در سنت‌های سابق هم خیلی مرسوم بوده </w:t>
      </w:r>
      <w:r w:rsidR="0047581D" w:rsidRPr="006E5956">
        <w:rPr>
          <w:rFonts w:ascii="IRBadr" w:hAnsi="IRBadr" w:cs="IRBadr"/>
          <w:sz w:val="28"/>
          <w:szCs w:val="28"/>
          <w:rtl/>
          <w:lang w:bidi="fa-IR"/>
        </w:rPr>
        <w:t>بعدازاینکه</w:t>
      </w:r>
      <w:r w:rsidR="00E124E8" w:rsidRPr="006E5956">
        <w:rPr>
          <w:rFonts w:ascii="IRBadr" w:hAnsi="IRBadr" w:cs="IRBadr"/>
          <w:sz w:val="28"/>
          <w:szCs w:val="28"/>
          <w:rtl/>
          <w:lang w:bidi="fa-IR"/>
        </w:rPr>
        <w:t xml:space="preserve"> شخص را می‌کشتند جلوی </w:t>
      </w:r>
      <w:r w:rsidR="0047581D" w:rsidRPr="006E5956">
        <w:rPr>
          <w:rFonts w:ascii="IRBadr" w:hAnsi="IRBadr" w:cs="IRBadr"/>
          <w:sz w:val="28"/>
          <w:szCs w:val="28"/>
          <w:rtl/>
          <w:lang w:bidi="fa-IR"/>
        </w:rPr>
        <w:t>دارالاماره‌ای</w:t>
      </w:r>
      <w:r w:rsidR="00E124E8" w:rsidRPr="006E5956">
        <w:rPr>
          <w:rFonts w:ascii="IRBadr" w:hAnsi="IRBadr" w:cs="IRBadr"/>
          <w:sz w:val="28"/>
          <w:szCs w:val="28"/>
          <w:rtl/>
          <w:lang w:bidi="fa-IR"/>
        </w:rPr>
        <w:t xml:space="preserve"> می‌آویختند، تا مدتی موجب عبرت دیگران شود.</w:t>
      </w:r>
    </w:p>
    <w:p w:rsidR="00E124E8" w:rsidRPr="006E5956" w:rsidRDefault="00E124E8" w:rsidP="006E5956">
      <w:pPr>
        <w:pStyle w:val="Heading4"/>
        <w:rPr>
          <w:rtl/>
        </w:rPr>
      </w:pPr>
      <w:bookmarkStart w:id="10" w:name="_Toc427751797"/>
      <w:r w:rsidRPr="006E5956">
        <w:rPr>
          <w:rtl/>
        </w:rPr>
        <w:t>روایت دوم</w:t>
      </w:r>
      <w:bookmarkEnd w:id="10"/>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در روایت چهارم باز همین است؛</w:t>
      </w:r>
    </w:p>
    <w:p w:rsidR="00E124E8" w:rsidRPr="006E5956" w:rsidRDefault="00E124E8" w:rsidP="00E124E8">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E5956">
        <w:rPr>
          <w:rFonts w:ascii="IRBadr" w:eastAsia="Times New Roman" w:hAnsi="IRBadr" w:cs="IRBadr"/>
          <w:b/>
          <w:bCs/>
          <w:color w:val="000000" w:themeColor="text1"/>
          <w:sz w:val="28"/>
          <w:szCs w:val="28"/>
          <w:rtl/>
          <w:lang w:bidi="fa-IR"/>
        </w:rPr>
        <w:t>«وَ إِنْ قَتَلَ وَ أَخَذَ الْمَالَ قُتِلَ وَ صُلِبَ»</w:t>
      </w:r>
      <w:r w:rsidRPr="006E5956">
        <w:rPr>
          <w:rFonts w:ascii="IRBadr" w:eastAsia="Times New Roman" w:hAnsi="IRBadr" w:cs="IRBadr"/>
          <w:b/>
          <w:bCs/>
          <w:color w:val="000000" w:themeColor="text1"/>
          <w:sz w:val="28"/>
          <w:szCs w:val="28"/>
          <w:vertAlign w:val="superscript"/>
          <w:rtl/>
          <w:lang w:bidi="fa-IR"/>
        </w:rPr>
        <w:footnoteReference w:id="6"/>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باز صلب بعد القتل است.</w:t>
      </w:r>
    </w:p>
    <w:p w:rsidR="00E124E8" w:rsidRPr="006E5956" w:rsidRDefault="00E124E8" w:rsidP="006E5956">
      <w:pPr>
        <w:pStyle w:val="Heading4"/>
        <w:rPr>
          <w:rtl/>
        </w:rPr>
      </w:pPr>
      <w:bookmarkStart w:id="11" w:name="_Toc427751798"/>
      <w:r w:rsidRPr="006E5956">
        <w:rPr>
          <w:rtl/>
        </w:rPr>
        <w:lastRenderedPageBreak/>
        <w:t>روایت سوم</w:t>
      </w:r>
      <w:bookmarkEnd w:id="11"/>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در روایت دیگر که البته سند معتبری نیز ندارد، همین مضمون وجود دارد که؛</w:t>
      </w:r>
    </w:p>
    <w:p w:rsidR="00E124E8" w:rsidRPr="006E5956" w:rsidRDefault="004E24CC" w:rsidP="00E124E8">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E5956">
        <w:rPr>
          <w:rFonts w:ascii="IRBadr" w:eastAsia="Times New Roman" w:hAnsi="IRBadr" w:cs="IRBadr"/>
          <w:b/>
          <w:bCs/>
          <w:color w:val="000000" w:themeColor="text1"/>
          <w:sz w:val="28"/>
          <w:szCs w:val="28"/>
          <w:rtl/>
          <w:lang w:bidi="fa-IR"/>
        </w:rPr>
        <w:t>«</w:t>
      </w:r>
      <w:r w:rsidR="00E124E8" w:rsidRPr="006E5956">
        <w:rPr>
          <w:rFonts w:ascii="IRBadr" w:eastAsia="Times New Roman" w:hAnsi="IRBadr" w:cs="IRBadr"/>
          <w:b/>
          <w:bCs/>
          <w:color w:val="000000" w:themeColor="text1"/>
          <w:sz w:val="28"/>
          <w:szCs w:val="28"/>
          <w:rtl/>
          <w:lang w:bidi="fa-IR"/>
        </w:rPr>
        <w:t xml:space="preserve">فَقَتَلَ وَ أَخَذَ الْمَالَ قُطِعَتْ </w:t>
      </w:r>
      <w:r w:rsidRPr="006E5956">
        <w:rPr>
          <w:rFonts w:ascii="IRBadr" w:eastAsia="Times New Roman" w:hAnsi="IRBadr" w:cs="IRBadr"/>
          <w:b/>
          <w:bCs/>
          <w:color w:val="000000" w:themeColor="text1"/>
          <w:sz w:val="28"/>
          <w:szCs w:val="28"/>
          <w:rtl/>
          <w:lang w:bidi="fa-IR"/>
        </w:rPr>
        <w:t>ی</w:t>
      </w:r>
      <w:r w:rsidR="00E124E8" w:rsidRPr="006E5956">
        <w:rPr>
          <w:rFonts w:ascii="IRBadr" w:eastAsia="Times New Roman" w:hAnsi="IRBadr" w:cs="IRBadr"/>
          <w:b/>
          <w:bCs/>
          <w:color w:val="000000" w:themeColor="text1"/>
          <w:sz w:val="28"/>
          <w:szCs w:val="28"/>
          <w:rtl/>
          <w:lang w:bidi="fa-IR"/>
        </w:rPr>
        <w:t xml:space="preserve">دُهُ وَ رِجْلُهُ وَ صُلِبَ» </w:t>
      </w:r>
      <w:r w:rsidR="00E124E8" w:rsidRPr="006E5956">
        <w:rPr>
          <w:rFonts w:ascii="IRBadr" w:eastAsia="Times New Roman" w:hAnsi="IRBadr" w:cs="IRBadr"/>
          <w:b/>
          <w:bCs/>
          <w:color w:val="000000" w:themeColor="text1"/>
          <w:sz w:val="28"/>
          <w:szCs w:val="28"/>
          <w:vertAlign w:val="superscript"/>
          <w:rtl/>
          <w:lang w:bidi="fa-IR"/>
        </w:rPr>
        <w:footnoteReference w:id="7"/>
      </w:r>
    </w:p>
    <w:p w:rsidR="00E124E8" w:rsidRPr="006E5956" w:rsidRDefault="00E124E8" w:rsidP="006E5956">
      <w:pPr>
        <w:pStyle w:val="Heading4"/>
        <w:rPr>
          <w:rtl/>
        </w:rPr>
      </w:pPr>
      <w:bookmarkStart w:id="12" w:name="_Toc427751799"/>
      <w:r w:rsidRPr="006E5956">
        <w:rPr>
          <w:rtl/>
        </w:rPr>
        <w:t>مقصود از صلب</w:t>
      </w:r>
      <w:bookmarkEnd w:id="12"/>
    </w:p>
    <w:p w:rsidR="00E124E8" w:rsidRPr="006E5956" w:rsidRDefault="006E5956" w:rsidP="00E124E8">
      <w:pPr>
        <w:bidi/>
        <w:jc w:val="both"/>
        <w:rPr>
          <w:rFonts w:ascii="IRBadr" w:hAnsi="IRBadr" w:cs="IRBadr"/>
          <w:sz w:val="28"/>
          <w:szCs w:val="28"/>
          <w:rtl/>
          <w:lang w:bidi="fa-IR"/>
        </w:rPr>
      </w:pPr>
      <w:r>
        <w:rPr>
          <w:rFonts w:ascii="IRBadr" w:hAnsi="IRBadr" w:cs="IRBadr"/>
          <w:sz w:val="28"/>
          <w:szCs w:val="28"/>
          <w:rtl/>
          <w:lang w:bidi="fa-IR"/>
        </w:rPr>
        <w:t>بنا بر</w:t>
      </w:r>
      <w:r w:rsidR="00E124E8" w:rsidRPr="006E5956">
        <w:rPr>
          <w:rFonts w:ascii="IRBadr" w:hAnsi="IRBadr" w:cs="IRBadr"/>
          <w:sz w:val="28"/>
          <w:szCs w:val="28"/>
          <w:rtl/>
          <w:lang w:bidi="fa-IR"/>
        </w:rPr>
        <w:t xml:space="preserve"> هر دو نظریه ترتیب و تخییر باید مقصود از صلب </w:t>
      </w:r>
      <w:r>
        <w:rPr>
          <w:rFonts w:ascii="IRBadr" w:hAnsi="IRBadr" w:cs="IRBadr"/>
          <w:sz w:val="28"/>
          <w:szCs w:val="28"/>
          <w:rtl/>
          <w:lang w:bidi="fa-IR"/>
        </w:rPr>
        <w:t>تبیین</w:t>
      </w:r>
      <w:r w:rsidR="00E124E8" w:rsidRPr="006E5956">
        <w:rPr>
          <w:rFonts w:ascii="IRBadr" w:hAnsi="IRBadr" w:cs="IRBadr"/>
          <w:sz w:val="28"/>
          <w:szCs w:val="28"/>
          <w:rtl/>
          <w:lang w:bidi="fa-IR"/>
        </w:rPr>
        <w:t xml:space="preserve"> شود؛ در قبال ترتیب در روایات صلب </w:t>
      </w:r>
      <w:r w:rsidR="0047581D" w:rsidRPr="006E5956">
        <w:rPr>
          <w:rFonts w:ascii="IRBadr" w:hAnsi="IRBadr" w:cs="IRBadr"/>
          <w:sz w:val="28"/>
          <w:szCs w:val="28"/>
          <w:rtl/>
          <w:lang w:bidi="fa-IR"/>
        </w:rPr>
        <w:t>به‌عنوان</w:t>
      </w:r>
      <w:r w:rsidR="00E124E8" w:rsidRPr="006E5956">
        <w:rPr>
          <w:rFonts w:ascii="IRBadr" w:hAnsi="IRBadr" w:cs="IRBadr"/>
          <w:sz w:val="28"/>
          <w:szCs w:val="28"/>
          <w:rtl/>
          <w:lang w:bidi="fa-IR"/>
        </w:rPr>
        <w:t xml:space="preserve"> عملی بعد از قتل </w:t>
      </w:r>
      <w:r w:rsidR="0047581D" w:rsidRPr="006E5956">
        <w:rPr>
          <w:rFonts w:ascii="IRBadr" w:hAnsi="IRBadr" w:cs="IRBadr"/>
          <w:sz w:val="28"/>
          <w:szCs w:val="28"/>
          <w:rtl/>
          <w:lang w:bidi="fa-IR"/>
        </w:rPr>
        <w:t>معرفی‌شده</w:t>
      </w:r>
      <w:r w:rsidR="00E124E8" w:rsidRPr="006E5956">
        <w:rPr>
          <w:rFonts w:ascii="IRBadr" w:hAnsi="IRBadr" w:cs="IRBadr"/>
          <w:sz w:val="28"/>
          <w:szCs w:val="28"/>
          <w:rtl/>
          <w:lang w:bidi="fa-IR"/>
        </w:rPr>
        <w:t xml:space="preserve"> است. اما جدا بودن صلب از قتل امری است که یا در روایات نیامده است و یا روایات حاوی این مضمون،</w:t>
      </w:r>
      <w:r w:rsidR="004E24CC" w:rsidRPr="006E5956">
        <w:rPr>
          <w:rFonts w:ascii="IRBadr" w:hAnsi="IRBadr" w:cs="IRBadr"/>
          <w:sz w:val="28"/>
          <w:szCs w:val="28"/>
          <w:rtl/>
          <w:lang w:bidi="fa-IR"/>
        </w:rPr>
        <w:t xml:space="preserve"> دچار</w:t>
      </w:r>
      <w:r w:rsidR="00E124E8" w:rsidRPr="006E5956">
        <w:rPr>
          <w:rFonts w:ascii="IRBadr" w:hAnsi="IRBadr" w:cs="IRBadr"/>
          <w:sz w:val="28"/>
          <w:szCs w:val="28"/>
          <w:rtl/>
          <w:lang w:bidi="fa-IR"/>
        </w:rPr>
        <w:t xml:space="preserve"> ضعف هستند.</w:t>
      </w:r>
      <w:r w:rsidR="004E24CC" w:rsidRPr="006E5956">
        <w:rPr>
          <w:rFonts w:ascii="IRBadr" w:hAnsi="IRBadr" w:cs="IRBadr"/>
          <w:sz w:val="28"/>
          <w:szCs w:val="28"/>
          <w:rtl/>
          <w:lang w:bidi="fa-IR"/>
        </w:rPr>
        <w:t xml:space="preserve"> و</w:t>
      </w:r>
      <w:r w:rsidR="00E124E8" w:rsidRPr="006E5956">
        <w:rPr>
          <w:rFonts w:ascii="IRBadr" w:hAnsi="IRBadr" w:cs="IRBadr"/>
          <w:sz w:val="28"/>
          <w:szCs w:val="28"/>
          <w:rtl/>
          <w:lang w:bidi="fa-IR"/>
        </w:rPr>
        <w:t xml:space="preserve"> در روایت معتبری صلب به نحوی مستقل ذکر نشده است و </w:t>
      </w:r>
      <w:r w:rsidR="0047581D" w:rsidRPr="006E5956">
        <w:rPr>
          <w:rFonts w:ascii="IRBadr" w:hAnsi="IRBadr" w:cs="IRBadr"/>
          <w:sz w:val="28"/>
          <w:szCs w:val="28"/>
          <w:rtl/>
          <w:lang w:bidi="fa-IR"/>
        </w:rPr>
        <w:t>به‌عنوان</w:t>
      </w:r>
      <w:r w:rsidR="00E124E8" w:rsidRPr="006E5956">
        <w:rPr>
          <w:rFonts w:ascii="IRBadr" w:hAnsi="IRBadr" w:cs="IRBadr"/>
          <w:sz w:val="28"/>
          <w:szCs w:val="28"/>
          <w:rtl/>
          <w:lang w:bidi="fa-IR"/>
        </w:rPr>
        <w:t xml:space="preserve"> متمم مجازات محسوب </w:t>
      </w:r>
      <w:r w:rsidR="004E24CC" w:rsidRPr="006E5956">
        <w:rPr>
          <w:rFonts w:ascii="IRBadr" w:hAnsi="IRBadr" w:cs="IRBadr"/>
          <w:sz w:val="28"/>
          <w:szCs w:val="28"/>
          <w:rtl/>
          <w:lang w:bidi="fa-IR"/>
        </w:rPr>
        <w:t>می‌شود</w:t>
      </w:r>
      <w:r w:rsidR="00E124E8" w:rsidRPr="006E5956">
        <w:rPr>
          <w:rFonts w:ascii="IRBadr" w:hAnsi="IRBadr" w:cs="IRBadr"/>
          <w:sz w:val="28"/>
          <w:szCs w:val="28"/>
          <w:rtl/>
          <w:lang w:bidi="fa-IR"/>
        </w:rPr>
        <w:t>.</w:t>
      </w:r>
    </w:p>
    <w:p w:rsidR="00E124E8" w:rsidRPr="006E5956" w:rsidRDefault="00E124E8" w:rsidP="006E5956">
      <w:pPr>
        <w:pStyle w:val="Heading4"/>
        <w:rPr>
          <w:rtl/>
        </w:rPr>
      </w:pPr>
      <w:bookmarkStart w:id="13" w:name="_Toc427751800"/>
      <w:r w:rsidRPr="006E5956">
        <w:rPr>
          <w:rtl/>
        </w:rPr>
        <w:t xml:space="preserve">صلب </w:t>
      </w:r>
      <w:r w:rsidR="006E5956">
        <w:rPr>
          <w:rtl/>
        </w:rPr>
        <w:t>بنا بر</w:t>
      </w:r>
      <w:r w:rsidRPr="006E5956">
        <w:rPr>
          <w:rtl/>
        </w:rPr>
        <w:t xml:space="preserve"> مبنای تخییر</w:t>
      </w:r>
      <w:bookmarkEnd w:id="13"/>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اما بر اساس مبنای تخییر که روایات در حقیقت </w:t>
      </w:r>
      <w:r w:rsidR="0047581D" w:rsidRPr="006E5956">
        <w:rPr>
          <w:rFonts w:ascii="IRBadr" w:hAnsi="IRBadr" w:cs="IRBadr"/>
          <w:sz w:val="28"/>
          <w:szCs w:val="28"/>
          <w:rtl/>
          <w:lang w:bidi="fa-IR"/>
        </w:rPr>
        <w:t>درصدد</w:t>
      </w:r>
      <w:r w:rsidRPr="006E5956">
        <w:rPr>
          <w:rFonts w:ascii="IRBadr" w:hAnsi="IRBadr" w:cs="IRBadr"/>
          <w:sz w:val="28"/>
          <w:szCs w:val="28"/>
          <w:rtl/>
          <w:lang w:bidi="fa-IR"/>
        </w:rPr>
        <w:t xml:space="preserve"> ارشاد به مصادیق از حد محارب هستند،</w:t>
      </w:r>
      <w:r w:rsidR="004E24CC" w:rsidRPr="006E5956">
        <w:rPr>
          <w:rFonts w:ascii="IRBadr" w:hAnsi="IRBadr" w:cs="IRBadr"/>
          <w:sz w:val="28"/>
          <w:szCs w:val="28"/>
          <w:rtl/>
          <w:lang w:bidi="fa-IR"/>
        </w:rPr>
        <w:t xml:space="preserve"> طبق</w:t>
      </w:r>
      <w:r w:rsidRPr="006E5956">
        <w:rPr>
          <w:rFonts w:ascii="IRBadr" w:hAnsi="IRBadr" w:cs="IRBadr"/>
          <w:sz w:val="28"/>
          <w:szCs w:val="28"/>
          <w:rtl/>
          <w:lang w:bidi="fa-IR"/>
        </w:rPr>
        <w:t xml:space="preserve"> این فرض باید به خود آیه مراجعه نمود و این سؤال را مطرح کرد که آیا صلب به دار آویختن محض است یا</w:t>
      </w:r>
      <w:r w:rsidR="004E24CC" w:rsidRPr="006E5956">
        <w:rPr>
          <w:rFonts w:ascii="IRBadr" w:hAnsi="IRBadr" w:cs="IRBadr"/>
          <w:sz w:val="28"/>
          <w:szCs w:val="28"/>
          <w:rtl/>
          <w:lang w:bidi="fa-IR"/>
        </w:rPr>
        <w:t xml:space="preserve"> </w:t>
      </w:r>
      <w:r w:rsidRPr="006E5956">
        <w:rPr>
          <w:rFonts w:ascii="IRBadr" w:hAnsi="IRBadr" w:cs="IRBadr"/>
          <w:sz w:val="28"/>
          <w:szCs w:val="28"/>
          <w:rtl/>
          <w:lang w:bidi="fa-IR"/>
        </w:rPr>
        <w:t>به دار آویختنی که به همراه قتل باشد؟</w:t>
      </w:r>
    </w:p>
    <w:p w:rsidR="00E124E8" w:rsidRPr="006E5956" w:rsidRDefault="00E124E8" w:rsidP="00E124E8">
      <w:pPr>
        <w:bidi/>
        <w:jc w:val="both"/>
        <w:rPr>
          <w:rFonts w:ascii="IRBadr" w:hAnsi="IRBadr" w:cs="IRBadr"/>
          <w:sz w:val="28"/>
          <w:szCs w:val="28"/>
          <w:rtl/>
          <w:lang w:bidi="fa-IR"/>
        </w:rPr>
      </w:pPr>
      <w:r w:rsidRPr="006E5956">
        <w:rPr>
          <w:rFonts w:ascii="IRBadr" w:hAnsi="IRBadr" w:cs="IRBadr"/>
          <w:sz w:val="28"/>
          <w:szCs w:val="28"/>
          <w:rtl/>
          <w:lang w:bidi="fa-IR"/>
        </w:rPr>
        <w:t xml:space="preserve">به نظر </w:t>
      </w:r>
      <w:r w:rsidR="004E24CC" w:rsidRPr="006E5956">
        <w:rPr>
          <w:rFonts w:ascii="IRBadr" w:hAnsi="IRBadr" w:cs="IRBadr"/>
          <w:sz w:val="28"/>
          <w:szCs w:val="28"/>
          <w:rtl/>
          <w:lang w:bidi="fa-IR"/>
        </w:rPr>
        <w:t>می‌رسد</w:t>
      </w:r>
      <w:r w:rsidRPr="006E5956">
        <w:rPr>
          <w:rFonts w:ascii="IRBadr" w:hAnsi="IRBadr" w:cs="IRBadr"/>
          <w:sz w:val="28"/>
          <w:szCs w:val="28"/>
          <w:rtl/>
          <w:lang w:bidi="fa-IR"/>
        </w:rPr>
        <w:t xml:space="preserve"> صلب در حقیقت به دار آویختنی باشد که منجر به قتل شود،</w:t>
      </w:r>
      <w:r w:rsidR="004E24CC" w:rsidRPr="006E5956">
        <w:rPr>
          <w:rFonts w:ascii="IRBadr" w:hAnsi="IRBadr" w:cs="IRBadr"/>
          <w:sz w:val="28"/>
          <w:szCs w:val="28"/>
          <w:rtl/>
          <w:lang w:bidi="fa-IR"/>
        </w:rPr>
        <w:t xml:space="preserve"> </w:t>
      </w:r>
      <w:r w:rsidR="0047581D" w:rsidRPr="006E5956">
        <w:rPr>
          <w:rFonts w:ascii="IRBadr" w:hAnsi="IRBadr" w:cs="IRBadr"/>
          <w:sz w:val="28"/>
          <w:szCs w:val="28"/>
          <w:rtl/>
          <w:lang w:bidi="fa-IR"/>
        </w:rPr>
        <w:t>همان‌طور</w:t>
      </w:r>
      <w:r w:rsidRPr="006E5956">
        <w:rPr>
          <w:rFonts w:ascii="IRBadr" w:hAnsi="IRBadr" w:cs="IRBadr"/>
          <w:sz w:val="28"/>
          <w:szCs w:val="28"/>
          <w:rtl/>
          <w:lang w:bidi="fa-IR"/>
        </w:rPr>
        <w:t xml:space="preserve"> که در کتب لغت </w:t>
      </w:r>
      <w:r w:rsidR="0047581D" w:rsidRPr="006E5956">
        <w:rPr>
          <w:rFonts w:ascii="IRBadr" w:hAnsi="IRBadr" w:cs="IRBadr"/>
          <w:sz w:val="28"/>
          <w:szCs w:val="28"/>
          <w:rtl/>
          <w:lang w:bidi="fa-IR"/>
        </w:rPr>
        <w:t>ذکرشده</w:t>
      </w:r>
      <w:r w:rsidRPr="006E5956">
        <w:rPr>
          <w:rFonts w:ascii="IRBadr" w:hAnsi="IRBadr" w:cs="IRBadr"/>
          <w:sz w:val="28"/>
          <w:szCs w:val="28"/>
          <w:rtl/>
          <w:lang w:bidi="fa-IR"/>
        </w:rPr>
        <w:t xml:space="preserve"> که معلق کردن انسان بر چوبی است برای اینکه او کشته شود. </w:t>
      </w:r>
      <w:r w:rsidR="0047581D" w:rsidRPr="006E5956">
        <w:rPr>
          <w:rFonts w:ascii="IRBadr" w:hAnsi="IRBadr" w:cs="IRBadr"/>
          <w:sz w:val="28"/>
          <w:szCs w:val="28"/>
          <w:rtl/>
          <w:lang w:bidi="fa-IR"/>
        </w:rPr>
        <w:t>بنابراین</w:t>
      </w:r>
      <w:r w:rsidRPr="006E5956">
        <w:rPr>
          <w:rFonts w:ascii="IRBadr" w:hAnsi="IRBadr" w:cs="IRBadr"/>
          <w:sz w:val="28"/>
          <w:szCs w:val="28"/>
          <w:rtl/>
          <w:lang w:bidi="fa-IR"/>
        </w:rPr>
        <w:t xml:space="preserve"> </w:t>
      </w:r>
      <w:r w:rsidR="006E5956">
        <w:rPr>
          <w:rFonts w:ascii="IRBadr" w:hAnsi="IRBadr" w:cs="IRBadr"/>
          <w:sz w:val="28"/>
          <w:szCs w:val="28"/>
          <w:rtl/>
          <w:lang w:bidi="fa-IR"/>
        </w:rPr>
        <w:t>بنا بر</w:t>
      </w:r>
      <w:r w:rsidRPr="006E5956">
        <w:rPr>
          <w:rFonts w:ascii="IRBadr" w:hAnsi="IRBadr" w:cs="IRBadr"/>
          <w:sz w:val="28"/>
          <w:szCs w:val="28"/>
          <w:rtl/>
          <w:lang w:bidi="fa-IR"/>
        </w:rPr>
        <w:t xml:space="preserve"> نظریه تخییر او </w:t>
      </w:r>
      <w:r w:rsidR="0047581D" w:rsidRPr="006E5956">
        <w:rPr>
          <w:rFonts w:ascii="IRBadr" w:hAnsi="IRBadr" w:cs="IRBadr"/>
          <w:sz w:val="28"/>
          <w:szCs w:val="28"/>
          <w:rtl/>
          <w:lang w:bidi="fa-IR"/>
        </w:rPr>
        <w:t>به‌صورت</w:t>
      </w:r>
      <w:r w:rsidRPr="006E5956">
        <w:rPr>
          <w:rFonts w:ascii="IRBadr" w:hAnsi="IRBadr" w:cs="IRBadr"/>
          <w:sz w:val="28"/>
          <w:szCs w:val="28"/>
          <w:rtl/>
          <w:lang w:bidi="fa-IR"/>
        </w:rPr>
        <w:t xml:space="preserve"> زنده به دار آویخته </w:t>
      </w:r>
      <w:r w:rsidR="004E24CC" w:rsidRPr="006E5956">
        <w:rPr>
          <w:rFonts w:ascii="IRBadr" w:hAnsi="IRBadr" w:cs="IRBadr"/>
          <w:sz w:val="28"/>
          <w:szCs w:val="28"/>
          <w:rtl/>
          <w:lang w:bidi="fa-IR"/>
        </w:rPr>
        <w:t>می‌شود</w:t>
      </w:r>
      <w:r w:rsidRPr="006E5956">
        <w:rPr>
          <w:rFonts w:ascii="IRBadr" w:hAnsi="IRBadr" w:cs="IRBadr"/>
          <w:sz w:val="28"/>
          <w:szCs w:val="28"/>
          <w:rtl/>
          <w:lang w:bidi="fa-IR"/>
        </w:rPr>
        <w:t xml:space="preserve"> لذا در فتاوا و شرایع </w:t>
      </w:r>
      <w:r w:rsidR="006E5956">
        <w:rPr>
          <w:rFonts w:ascii="IRBadr" w:hAnsi="IRBadr" w:cs="IRBadr"/>
          <w:sz w:val="28"/>
          <w:szCs w:val="28"/>
          <w:rtl/>
          <w:lang w:bidi="fa-IR"/>
        </w:rPr>
        <w:t>بنا بر</w:t>
      </w:r>
      <w:r w:rsidRPr="006E5956">
        <w:rPr>
          <w:rFonts w:ascii="IRBadr" w:hAnsi="IRBadr" w:cs="IRBadr"/>
          <w:sz w:val="28"/>
          <w:szCs w:val="28"/>
          <w:rtl/>
          <w:lang w:bidi="fa-IR"/>
        </w:rPr>
        <w:t xml:space="preserve"> نظریه تخییر صلب را حیاً تعبیر </w:t>
      </w:r>
      <w:r w:rsidR="004E24CC" w:rsidRPr="006E5956">
        <w:rPr>
          <w:rFonts w:ascii="IRBadr" w:hAnsi="IRBadr" w:cs="IRBadr"/>
          <w:sz w:val="28"/>
          <w:szCs w:val="28"/>
          <w:rtl/>
          <w:lang w:bidi="fa-IR"/>
        </w:rPr>
        <w:t>نموده‌اند</w:t>
      </w:r>
      <w:r w:rsidRPr="006E5956">
        <w:rPr>
          <w:rFonts w:ascii="IRBadr" w:hAnsi="IRBadr" w:cs="IRBadr"/>
          <w:sz w:val="28"/>
          <w:szCs w:val="28"/>
          <w:rtl/>
          <w:lang w:bidi="fa-IR"/>
        </w:rPr>
        <w:t>.</w:t>
      </w:r>
    </w:p>
    <w:p w:rsidR="00152670" w:rsidRPr="006E5956" w:rsidRDefault="00152670" w:rsidP="00734D59">
      <w:pPr>
        <w:bidi/>
        <w:rPr>
          <w:rFonts w:ascii="IRBadr" w:hAnsi="IRBadr" w:cs="IRBadr"/>
          <w:rtl/>
          <w:lang w:bidi="fa-IR"/>
        </w:rPr>
      </w:pPr>
    </w:p>
    <w:sectPr w:rsidR="00152670" w:rsidRPr="006E5956"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FB" w:rsidRDefault="00012FFB" w:rsidP="000D5800">
      <w:pPr>
        <w:spacing w:after="0" w:line="240" w:lineRule="auto"/>
      </w:pPr>
      <w:r>
        <w:separator/>
      </w:r>
    </w:p>
  </w:endnote>
  <w:endnote w:type="continuationSeparator" w:id="0">
    <w:p w:rsidR="00012FFB" w:rsidRDefault="00012FFB"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FB" w:rsidRDefault="00012FFB" w:rsidP="00560EB8">
      <w:pPr>
        <w:bidi/>
        <w:spacing w:after="0" w:line="240" w:lineRule="auto"/>
      </w:pPr>
      <w:r>
        <w:separator/>
      </w:r>
    </w:p>
  </w:footnote>
  <w:footnote w:type="continuationSeparator" w:id="0">
    <w:p w:rsidR="00012FFB" w:rsidRDefault="00012FFB" w:rsidP="000D5800">
      <w:pPr>
        <w:spacing w:after="0" w:line="240" w:lineRule="auto"/>
      </w:pPr>
      <w:r>
        <w:continuationSeparator/>
      </w:r>
    </w:p>
  </w:footnote>
  <w:footnote w:id="1">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color w:val="000000" w:themeColor="text1"/>
          <w:rtl/>
        </w:rPr>
        <w:t xml:space="preserve">- </w:t>
      </w:r>
      <w:r w:rsidRPr="006E5956">
        <w:rPr>
          <w:rFonts w:ascii="IRBadr" w:hAnsi="IRBadr" w:cs="IRBadr"/>
          <w:b/>
          <w:bCs/>
          <w:color w:val="000000" w:themeColor="text1"/>
          <w:rtl/>
        </w:rPr>
        <w:t>تفص</w:t>
      </w:r>
      <w:r w:rsidR="004E24CC" w:rsidRPr="006E5956">
        <w:rPr>
          <w:rFonts w:ascii="IRBadr" w:hAnsi="IRBadr" w:cs="IRBadr"/>
          <w:b/>
          <w:bCs/>
          <w:color w:val="000000" w:themeColor="text1"/>
          <w:rtl/>
        </w:rPr>
        <w:t>ی</w:t>
      </w:r>
      <w:r w:rsidRPr="006E5956">
        <w:rPr>
          <w:rFonts w:ascii="IRBadr" w:hAnsi="IRBadr" w:cs="IRBadr"/>
          <w:b/>
          <w:bCs/>
          <w:color w:val="000000" w:themeColor="text1"/>
          <w:rtl/>
        </w:rPr>
        <w:t>ل الشر</w:t>
      </w:r>
      <w:r w:rsidR="004E24CC" w:rsidRPr="006E5956">
        <w:rPr>
          <w:rFonts w:ascii="IRBadr" w:hAnsi="IRBadr" w:cs="IRBadr"/>
          <w:b/>
          <w:bCs/>
          <w:color w:val="000000" w:themeColor="text1"/>
          <w:rtl/>
        </w:rPr>
        <w:t>ی</w:t>
      </w:r>
      <w:r w:rsidRPr="006E5956">
        <w:rPr>
          <w:rFonts w:ascii="IRBadr" w:hAnsi="IRBadr" w:cs="IRBadr"/>
          <w:b/>
          <w:bCs/>
          <w:color w:val="000000" w:themeColor="text1"/>
          <w:rtl/>
        </w:rPr>
        <w:t>عة ف</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 شرح تحر</w:t>
      </w:r>
      <w:r w:rsidR="004E24CC" w:rsidRPr="006E5956">
        <w:rPr>
          <w:rFonts w:ascii="IRBadr" w:hAnsi="IRBadr" w:cs="IRBadr"/>
          <w:b/>
          <w:bCs/>
          <w:color w:val="000000" w:themeColor="text1"/>
          <w:rtl/>
        </w:rPr>
        <w:t>ی</w:t>
      </w:r>
      <w:r w:rsidRPr="006E5956">
        <w:rPr>
          <w:rFonts w:ascii="IRBadr" w:hAnsi="IRBadr" w:cs="IRBadr"/>
          <w:b/>
          <w:bCs/>
          <w:color w:val="000000" w:themeColor="text1"/>
          <w:rtl/>
        </w:rPr>
        <w:t>ر الوس</w:t>
      </w:r>
      <w:r w:rsidR="004E24CC" w:rsidRPr="006E5956">
        <w:rPr>
          <w:rFonts w:ascii="IRBadr" w:hAnsi="IRBadr" w:cs="IRBadr"/>
          <w:b/>
          <w:bCs/>
          <w:color w:val="000000" w:themeColor="text1"/>
          <w:rtl/>
        </w:rPr>
        <w:t>ی</w:t>
      </w:r>
      <w:r w:rsidRPr="006E5956">
        <w:rPr>
          <w:rFonts w:ascii="IRBadr" w:hAnsi="IRBadr" w:cs="IRBadr"/>
          <w:b/>
          <w:bCs/>
          <w:color w:val="000000" w:themeColor="text1"/>
          <w:rtl/>
        </w:rPr>
        <w:t>لة - الحدود؛ ص: 663</w:t>
      </w:r>
      <w:r w:rsidR="006E5956" w:rsidRPr="006E5956">
        <w:rPr>
          <w:rFonts w:ascii="IRBadr" w:hAnsi="IRBadr" w:cs="IRBadr"/>
          <w:b/>
          <w:bCs/>
          <w:rtl/>
        </w:rPr>
        <w:t>.</w:t>
      </w:r>
    </w:p>
  </w:footnote>
  <w:footnote w:id="2">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rtl/>
        </w:rPr>
        <w:t xml:space="preserve">- </w:t>
      </w:r>
      <w:r w:rsidRPr="006E5956">
        <w:rPr>
          <w:rFonts w:ascii="IRBadr" w:hAnsi="IRBadr" w:cs="IRBadr"/>
          <w:b/>
          <w:bCs/>
          <w:rtl/>
        </w:rPr>
        <w:t>33/مائده</w:t>
      </w:r>
      <w:r w:rsidR="006E5956" w:rsidRPr="006E5956">
        <w:rPr>
          <w:rFonts w:ascii="IRBadr" w:hAnsi="IRBadr" w:cs="IRBadr"/>
          <w:b/>
          <w:bCs/>
          <w:rtl/>
        </w:rPr>
        <w:t>.</w:t>
      </w:r>
    </w:p>
  </w:footnote>
  <w:footnote w:id="3">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rtl/>
        </w:rPr>
        <w:t xml:space="preserve">- </w:t>
      </w:r>
      <w:r w:rsidRPr="006E5956">
        <w:rPr>
          <w:rFonts w:ascii="IRBadr" w:hAnsi="IRBadr" w:cs="IRBadr"/>
          <w:b/>
          <w:bCs/>
          <w:rtl/>
        </w:rPr>
        <w:t>34 / مائده</w:t>
      </w:r>
      <w:r w:rsidR="006E5956" w:rsidRPr="006E5956">
        <w:rPr>
          <w:rFonts w:ascii="IRBadr" w:hAnsi="IRBadr" w:cs="IRBadr"/>
          <w:b/>
          <w:bCs/>
          <w:rtl/>
        </w:rPr>
        <w:t>.</w:t>
      </w:r>
    </w:p>
  </w:footnote>
  <w:footnote w:id="4">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color w:val="000000" w:themeColor="text1"/>
          <w:rtl/>
        </w:rPr>
        <w:t xml:space="preserve">- </w:t>
      </w:r>
      <w:r w:rsidRPr="006E5956">
        <w:rPr>
          <w:rFonts w:ascii="IRBadr" w:hAnsi="IRBadr" w:cs="IRBadr"/>
          <w:b/>
          <w:bCs/>
          <w:color w:val="000000" w:themeColor="text1"/>
          <w:rtl/>
        </w:rPr>
        <w:t>تفص</w:t>
      </w:r>
      <w:r w:rsidR="004E24CC" w:rsidRPr="006E5956">
        <w:rPr>
          <w:rFonts w:ascii="IRBadr" w:hAnsi="IRBadr" w:cs="IRBadr"/>
          <w:b/>
          <w:bCs/>
          <w:color w:val="000000" w:themeColor="text1"/>
          <w:rtl/>
        </w:rPr>
        <w:t>ی</w:t>
      </w:r>
      <w:r w:rsidRPr="006E5956">
        <w:rPr>
          <w:rFonts w:ascii="IRBadr" w:hAnsi="IRBadr" w:cs="IRBadr"/>
          <w:b/>
          <w:bCs/>
          <w:color w:val="000000" w:themeColor="text1"/>
          <w:rtl/>
        </w:rPr>
        <w:t>ل الشر</w:t>
      </w:r>
      <w:r w:rsidR="004E24CC" w:rsidRPr="006E5956">
        <w:rPr>
          <w:rFonts w:ascii="IRBadr" w:hAnsi="IRBadr" w:cs="IRBadr"/>
          <w:b/>
          <w:bCs/>
          <w:color w:val="000000" w:themeColor="text1"/>
          <w:rtl/>
        </w:rPr>
        <w:t>ی</w:t>
      </w:r>
      <w:r w:rsidRPr="006E5956">
        <w:rPr>
          <w:rFonts w:ascii="IRBadr" w:hAnsi="IRBadr" w:cs="IRBadr"/>
          <w:b/>
          <w:bCs/>
          <w:color w:val="000000" w:themeColor="text1"/>
          <w:rtl/>
        </w:rPr>
        <w:t>عة ف</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 شرح تحر</w:t>
      </w:r>
      <w:r w:rsidR="004E24CC" w:rsidRPr="006E5956">
        <w:rPr>
          <w:rFonts w:ascii="IRBadr" w:hAnsi="IRBadr" w:cs="IRBadr"/>
          <w:b/>
          <w:bCs/>
          <w:color w:val="000000" w:themeColor="text1"/>
          <w:rtl/>
        </w:rPr>
        <w:t>ی</w:t>
      </w:r>
      <w:r w:rsidRPr="006E5956">
        <w:rPr>
          <w:rFonts w:ascii="IRBadr" w:hAnsi="IRBadr" w:cs="IRBadr"/>
          <w:b/>
          <w:bCs/>
          <w:color w:val="000000" w:themeColor="text1"/>
          <w:rtl/>
        </w:rPr>
        <w:t>ر الوس</w:t>
      </w:r>
      <w:r w:rsidR="004E24CC" w:rsidRPr="006E5956">
        <w:rPr>
          <w:rFonts w:ascii="IRBadr" w:hAnsi="IRBadr" w:cs="IRBadr"/>
          <w:b/>
          <w:bCs/>
          <w:color w:val="000000" w:themeColor="text1"/>
          <w:rtl/>
        </w:rPr>
        <w:t>ی</w:t>
      </w:r>
      <w:r w:rsidRPr="006E5956">
        <w:rPr>
          <w:rFonts w:ascii="IRBadr" w:hAnsi="IRBadr" w:cs="IRBadr"/>
          <w:b/>
          <w:bCs/>
          <w:color w:val="000000" w:themeColor="text1"/>
          <w:rtl/>
        </w:rPr>
        <w:t>لة - الحدود؛ ص: 670</w:t>
      </w:r>
      <w:r w:rsidR="006E5956" w:rsidRPr="006E5956">
        <w:rPr>
          <w:rFonts w:ascii="IRBadr" w:hAnsi="IRBadr" w:cs="IRBadr"/>
          <w:b/>
          <w:bCs/>
          <w:rtl/>
        </w:rPr>
        <w:t>.</w:t>
      </w:r>
    </w:p>
  </w:footnote>
  <w:footnote w:id="5">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color w:val="000000" w:themeColor="text1"/>
          <w:rtl/>
        </w:rPr>
        <w:t xml:space="preserve">- </w:t>
      </w:r>
      <w:r w:rsidRPr="006E5956">
        <w:rPr>
          <w:rFonts w:ascii="IRBadr" w:hAnsi="IRBadr" w:cs="IRBadr"/>
          <w:b/>
          <w:bCs/>
          <w:color w:val="000000" w:themeColor="text1"/>
          <w:rtl/>
        </w:rPr>
        <w:t>ال</w:t>
      </w:r>
      <w:r w:rsidR="004E24CC" w:rsidRPr="006E5956">
        <w:rPr>
          <w:rFonts w:ascii="IRBadr" w:hAnsi="IRBadr" w:cs="IRBadr"/>
          <w:b/>
          <w:bCs/>
          <w:color w:val="000000" w:themeColor="text1"/>
          <w:rtl/>
        </w:rPr>
        <w:t>ک</w:t>
      </w:r>
      <w:r w:rsidRPr="006E5956">
        <w:rPr>
          <w:rFonts w:ascii="IRBadr" w:hAnsi="IRBadr" w:cs="IRBadr"/>
          <w:b/>
          <w:bCs/>
          <w:color w:val="000000" w:themeColor="text1"/>
          <w:rtl/>
        </w:rPr>
        <w:t>اف</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 (ط - الإسلام</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ة)؛ </w:t>
      </w:r>
      <w:r w:rsidR="004E24CC" w:rsidRPr="006E5956">
        <w:rPr>
          <w:rFonts w:ascii="IRBadr" w:hAnsi="IRBadr" w:cs="IRBadr"/>
          <w:b/>
          <w:bCs/>
          <w:color w:val="000000" w:themeColor="text1"/>
          <w:rtl/>
        </w:rPr>
        <w:t>ج 7</w:t>
      </w:r>
      <w:r w:rsidRPr="006E5956">
        <w:rPr>
          <w:rFonts w:ascii="IRBadr" w:hAnsi="IRBadr" w:cs="IRBadr"/>
          <w:b/>
          <w:bCs/>
          <w:color w:val="000000" w:themeColor="text1"/>
          <w:rtl/>
        </w:rPr>
        <w:t>، ص: 248</w:t>
      </w:r>
      <w:r w:rsidR="006E5956" w:rsidRPr="006E5956">
        <w:rPr>
          <w:rFonts w:ascii="IRBadr" w:hAnsi="IRBadr" w:cs="IRBadr"/>
          <w:b/>
          <w:bCs/>
          <w:rtl/>
        </w:rPr>
        <w:t>.</w:t>
      </w:r>
    </w:p>
  </w:footnote>
  <w:footnote w:id="6">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color w:val="000000" w:themeColor="text1"/>
          <w:rtl/>
        </w:rPr>
        <w:t xml:space="preserve">- </w:t>
      </w:r>
      <w:r w:rsidRPr="006E5956">
        <w:rPr>
          <w:rFonts w:ascii="IRBadr" w:hAnsi="IRBadr" w:cs="IRBadr"/>
          <w:b/>
          <w:bCs/>
          <w:color w:val="000000" w:themeColor="text1"/>
          <w:rtl/>
        </w:rPr>
        <w:t>ال</w:t>
      </w:r>
      <w:r w:rsidR="004E24CC" w:rsidRPr="006E5956">
        <w:rPr>
          <w:rFonts w:ascii="IRBadr" w:hAnsi="IRBadr" w:cs="IRBadr"/>
          <w:b/>
          <w:bCs/>
          <w:color w:val="000000" w:themeColor="text1"/>
          <w:rtl/>
        </w:rPr>
        <w:t>ک</w:t>
      </w:r>
      <w:r w:rsidRPr="006E5956">
        <w:rPr>
          <w:rFonts w:ascii="IRBadr" w:hAnsi="IRBadr" w:cs="IRBadr"/>
          <w:b/>
          <w:bCs/>
          <w:color w:val="000000" w:themeColor="text1"/>
          <w:rtl/>
        </w:rPr>
        <w:t>اف</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 (ط - الإسلام</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ة)؛ </w:t>
      </w:r>
      <w:r w:rsidR="004E24CC" w:rsidRPr="006E5956">
        <w:rPr>
          <w:rFonts w:ascii="IRBadr" w:hAnsi="IRBadr" w:cs="IRBadr"/>
          <w:b/>
          <w:bCs/>
          <w:color w:val="000000" w:themeColor="text1"/>
          <w:rtl/>
        </w:rPr>
        <w:t>ج 7</w:t>
      </w:r>
      <w:r w:rsidRPr="006E5956">
        <w:rPr>
          <w:rFonts w:ascii="IRBadr" w:hAnsi="IRBadr" w:cs="IRBadr"/>
          <w:b/>
          <w:bCs/>
          <w:color w:val="000000" w:themeColor="text1"/>
          <w:rtl/>
        </w:rPr>
        <w:t>، ص: 247</w:t>
      </w:r>
      <w:r w:rsidR="006E5956" w:rsidRPr="006E5956">
        <w:rPr>
          <w:rFonts w:ascii="IRBadr" w:hAnsi="IRBadr" w:cs="IRBadr"/>
          <w:b/>
          <w:bCs/>
          <w:rtl/>
        </w:rPr>
        <w:t>.</w:t>
      </w:r>
    </w:p>
  </w:footnote>
  <w:footnote w:id="7">
    <w:p w:rsidR="00E124E8" w:rsidRPr="006E5956" w:rsidRDefault="00E124E8" w:rsidP="00E124E8">
      <w:pPr>
        <w:pStyle w:val="FootnoteText"/>
        <w:rPr>
          <w:rFonts w:ascii="IRBadr" w:hAnsi="IRBadr" w:cs="IRBadr"/>
          <w:b/>
          <w:bCs/>
          <w:rtl/>
        </w:rPr>
      </w:pPr>
      <w:r w:rsidRPr="006E5956">
        <w:rPr>
          <w:rStyle w:val="FootnoteReference"/>
          <w:rFonts w:ascii="IRBadr" w:hAnsi="IRBadr" w:cs="IRBadr"/>
          <w:b/>
          <w:bCs/>
        </w:rPr>
        <w:footnoteRef/>
      </w:r>
      <w:r w:rsidRPr="006E5956">
        <w:rPr>
          <w:rFonts w:ascii="IRBadr" w:hAnsi="IRBadr" w:cs="IRBadr"/>
          <w:b/>
          <w:bCs/>
        </w:rPr>
        <w:t xml:space="preserve"> </w:t>
      </w:r>
      <w:r w:rsidR="006E5956" w:rsidRPr="006E5956">
        <w:rPr>
          <w:rFonts w:ascii="IRBadr" w:hAnsi="IRBadr" w:cs="IRBadr"/>
          <w:b/>
          <w:bCs/>
          <w:color w:val="000000" w:themeColor="text1"/>
          <w:rtl/>
        </w:rPr>
        <w:t xml:space="preserve">- </w:t>
      </w:r>
      <w:r w:rsidRPr="006E5956">
        <w:rPr>
          <w:rFonts w:ascii="IRBadr" w:hAnsi="IRBadr" w:cs="IRBadr"/>
          <w:b/>
          <w:bCs/>
          <w:color w:val="000000" w:themeColor="text1"/>
          <w:rtl/>
        </w:rPr>
        <w:t>ال</w:t>
      </w:r>
      <w:r w:rsidR="004E24CC" w:rsidRPr="006E5956">
        <w:rPr>
          <w:rFonts w:ascii="IRBadr" w:hAnsi="IRBadr" w:cs="IRBadr"/>
          <w:b/>
          <w:bCs/>
          <w:color w:val="000000" w:themeColor="text1"/>
          <w:rtl/>
        </w:rPr>
        <w:t>ک</w:t>
      </w:r>
      <w:r w:rsidRPr="006E5956">
        <w:rPr>
          <w:rFonts w:ascii="IRBadr" w:hAnsi="IRBadr" w:cs="IRBadr"/>
          <w:b/>
          <w:bCs/>
          <w:color w:val="000000" w:themeColor="text1"/>
          <w:rtl/>
        </w:rPr>
        <w:t>اف</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 (ط - الإسلام</w:t>
      </w:r>
      <w:r w:rsidR="004E24CC" w:rsidRPr="006E5956">
        <w:rPr>
          <w:rFonts w:ascii="IRBadr" w:hAnsi="IRBadr" w:cs="IRBadr"/>
          <w:b/>
          <w:bCs/>
          <w:color w:val="000000" w:themeColor="text1"/>
          <w:rtl/>
        </w:rPr>
        <w:t>ی</w:t>
      </w:r>
      <w:r w:rsidRPr="006E5956">
        <w:rPr>
          <w:rFonts w:ascii="IRBadr" w:hAnsi="IRBadr" w:cs="IRBadr"/>
          <w:b/>
          <w:bCs/>
          <w:color w:val="000000" w:themeColor="text1"/>
          <w:rtl/>
        </w:rPr>
        <w:t xml:space="preserve">ة)؛ </w:t>
      </w:r>
      <w:r w:rsidR="004E24CC" w:rsidRPr="006E5956">
        <w:rPr>
          <w:rFonts w:ascii="IRBadr" w:hAnsi="IRBadr" w:cs="IRBadr"/>
          <w:b/>
          <w:bCs/>
          <w:color w:val="000000" w:themeColor="text1"/>
          <w:rtl/>
        </w:rPr>
        <w:t>ج 7</w:t>
      </w:r>
      <w:r w:rsidRPr="006E5956">
        <w:rPr>
          <w:rFonts w:ascii="IRBadr" w:hAnsi="IRBadr" w:cs="IRBadr"/>
          <w:b/>
          <w:bCs/>
          <w:color w:val="000000" w:themeColor="text1"/>
          <w:rtl/>
        </w:rPr>
        <w:t>، ص: 247</w:t>
      </w:r>
      <w:r w:rsidR="006E5956" w:rsidRPr="006E5956">
        <w:rPr>
          <w:rFonts w:ascii="IRBadr" w:hAnsi="IRBadr" w:cs="IRBadr"/>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124E8">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DD40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124E8">
      <w:rPr>
        <w:rFonts w:ascii="IranNastaliq" w:hAnsi="IranNastaliq" w:cs="IranNastaliq" w:hint="cs"/>
        <w:sz w:val="40"/>
        <w:szCs w:val="40"/>
        <w:rtl/>
        <w:lang w:bidi="fa-IR"/>
      </w:rPr>
      <w:t>924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2FFB"/>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2F54"/>
    <w:rsid w:val="001D542D"/>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2F10D6"/>
    <w:rsid w:val="00331263"/>
    <w:rsid w:val="00340BA3"/>
    <w:rsid w:val="003558CA"/>
    <w:rsid w:val="00366400"/>
    <w:rsid w:val="003963D7"/>
    <w:rsid w:val="00396F28"/>
    <w:rsid w:val="003A1A05"/>
    <w:rsid w:val="003A2654"/>
    <w:rsid w:val="003C06BF"/>
    <w:rsid w:val="003C7899"/>
    <w:rsid w:val="003D2F0A"/>
    <w:rsid w:val="003D373F"/>
    <w:rsid w:val="003D563F"/>
    <w:rsid w:val="003E1E58"/>
    <w:rsid w:val="003F1AED"/>
    <w:rsid w:val="0040094C"/>
    <w:rsid w:val="00405199"/>
    <w:rsid w:val="00410699"/>
    <w:rsid w:val="00415360"/>
    <w:rsid w:val="0044591E"/>
    <w:rsid w:val="004651D2"/>
    <w:rsid w:val="00465D26"/>
    <w:rsid w:val="004679F8"/>
    <w:rsid w:val="0047273C"/>
    <w:rsid w:val="0047581D"/>
    <w:rsid w:val="00494DC0"/>
    <w:rsid w:val="00496073"/>
    <w:rsid w:val="004B337F"/>
    <w:rsid w:val="004E24CC"/>
    <w:rsid w:val="004F3596"/>
    <w:rsid w:val="004F56BA"/>
    <w:rsid w:val="00560405"/>
    <w:rsid w:val="00560EB8"/>
    <w:rsid w:val="00572E2D"/>
    <w:rsid w:val="00592103"/>
    <w:rsid w:val="005941DD"/>
    <w:rsid w:val="005A545E"/>
    <w:rsid w:val="005A5862"/>
    <w:rsid w:val="005B0852"/>
    <w:rsid w:val="005C06AE"/>
    <w:rsid w:val="005C0D0A"/>
    <w:rsid w:val="00610C18"/>
    <w:rsid w:val="00612385"/>
    <w:rsid w:val="0061376C"/>
    <w:rsid w:val="00636EFA"/>
    <w:rsid w:val="0066229C"/>
    <w:rsid w:val="00667EC9"/>
    <w:rsid w:val="00675B32"/>
    <w:rsid w:val="0069696C"/>
    <w:rsid w:val="006A085A"/>
    <w:rsid w:val="006A2CFF"/>
    <w:rsid w:val="006D3A87"/>
    <w:rsid w:val="006E5956"/>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6562"/>
    <w:rsid w:val="00857C21"/>
    <w:rsid w:val="008644F4"/>
    <w:rsid w:val="00883733"/>
    <w:rsid w:val="00893144"/>
    <w:rsid w:val="008965D2"/>
    <w:rsid w:val="008A236D"/>
    <w:rsid w:val="008A755F"/>
    <w:rsid w:val="008B565A"/>
    <w:rsid w:val="008C3414"/>
    <w:rsid w:val="008D36D5"/>
    <w:rsid w:val="008E3903"/>
    <w:rsid w:val="008F197C"/>
    <w:rsid w:val="008F63E3"/>
    <w:rsid w:val="00913C3B"/>
    <w:rsid w:val="00915509"/>
    <w:rsid w:val="00927388"/>
    <w:rsid w:val="009274FE"/>
    <w:rsid w:val="009401AC"/>
    <w:rsid w:val="0096002E"/>
    <w:rsid w:val="009613AC"/>
    <w:rsid w:val="00980643"/>
    <w:rsid w:val="009B46BC"/>
    <w:rsid w:val="009B61C3"/>
    <w:rsid w:val="009C7B4F"/>
    <w:rsid w:val="009F4EB3"/>
    <w:rsid w:val="009F7E7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438E4"/>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4E8"/>
    <w:rsid w:val="00E12531"/>
    <w:rsid w:val="00E143B0"/>
    <w:rsid w:val="00E55891"/>
    <w:rsid w:val="00E6283A"/>
    <w:rsid w:val="00E732A3"/>
    <w:rsid w:val="00E761C2"/>
    <w:rsid w:val="00E83A85"/>
    <w:rsid w:val="00E90FC4"/>
    <w:rsid w:val="00EA01EC"/>
    <w:rsid w:val="00EA15B0"/>
    <w:rsid w:val="00EA5D97"/>
    <w:rsid w:val="00EB0902"/>
    <w:rsid w:val="00EC4393"/>
    <w:rsid w:val="00EE1C07"/>
    <w:rsid w:val="00EE2C91"/>
    <w:rsid w:val="00EE3979"/>
    <w:rsid w:val="00EF138C"/>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6E5956"/>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6E5956"/>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60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6E5956"/>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6E5956"/>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560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D0A1-9A79-406F-AD8B-4FA83963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88</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38</cp:revision>
  <dcterms:created xsi:type="dcterms:W3CDTF">2014-12-20T10:23:00Z</dcterms:created>
  <dcterms:modified xsi:type="dcterms:W3CDTF">2015-08-19T09:45:00Z</dcterms:modified>
</cp:coreProperties>
</file>